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00" w:rsidRPr="00D15A00" w:rsidRDefault="00D15A00" w:rsidP="00D15A00">
      <w:pPr>
        <w:pStyle w:val="Author"/>
        <w:spacing w:before="0" w:after="0"/>
        <w:rPr>
          <w:rFonts w:ascii="Arial" w:hAnsi="Arial" w:cs="Arial"/>
          <w:bCs/>
          <w:sz w:val="28"/>
          <w:szCs w:val="28"/>
          <w:lang w:val="en-US"/>
        </w:rPr>
      </w:pPr>
      <w:r w:rsidRPr="00D15A00">
        <w:rPr>
          <w:rFonts w:ascii="Arial" w:hAnsi="Arial" w:cs="Arial"/>
          <w:bCs/>
          <w:sz w:val="28"/>
          <w:szCs w:val="28"/>
          <w:lang w:val="en-US"/>
        </w:rPr>
        <w:t>Addressing Engineering Teaching Issues in Online Distance Learning</w:t>
      </w:r>
    </w:p>
    <w:p w:rsidR="00D15A00" w:rsidRDefault="00D15A00" w:rsidP="00D15A00">
      <w:pPr>
        <w:pStyle w:val="Author"/>
        <w:spacing w:before="0" w:after="0" w:line="240" w:lineRule="exact"/>
        <w:rPr>
          <w:rFonts w:ascii="Arial" w:hAnsi="Arial" w:cs="Arial"/>
          <w:sz w:val="20"/>
          <w:lang w:eastAsia="ko-KR"/>
        </w:rPr>
      </w:pPr>
    </w:p>
    <w:p w:rsidR="00D15A00" w:rsidRDefault="00D15A00" w:rsidP="00D15A00">
      <w:pPr>
        <w:jc w:val="center"/>
        <w:rPr>
          <w:rFonts w:ascii="Arial" w:hAnsi="Arial" w:cs="Arial"/>
          <w:b/>
          <w:lang w:eastAsia="ko-KR"/>
        </w:rPr>
      </w:pPr>
      <w:r w:rsidRPr="004C7A27">
        <w:rPr>
          <w:rFonts w:ascii="Arial" w:hAnsi="Arial" w:cs="Arial" w:hint="eastAsia"/>
          <w:b/>
          <w:sz w:val="20"/>
          <w:vertAlign w:val="superscript"/>
          <w:lang w:eastAsia="ko-KR"/>
        </w:rPr>
        <w:t>1</w:t>
      </w:r>
      <w:r>
        <w:rPr>
          <w:rFonts w:ascii="Arial" w:hAnsi="Arial" w:cs="Arial"/>
          <w:b/>
          <w:lang w:eastAsia="ko-KR"/>
        </w:rPr>
        <w:t>B.M. Mulligan</w:t>
      </w:r>
      <w:r w:rsidRPr="00EB7A62">
        <w:rPr>
          <w:rFonts w:ascii="Arial" w:hAnsi="Arial" w:cs="Arial"/>
          <w:b/>
          <w:sz w:val="20"/>
        </w:rPr>
        <w:t xml:space="preserve">, </w:t>
      </w:r>
      <w:r w:rsidRPr="00EB7A62">
        <w:rPr>
          <w:rFonts w:ascii="Arial" w:hAnsi="Arial" w:cs="Arial" w:hint="eastAsia"/>
          <w:b/>
          <w:sz w:val="20"/>
          <w:vertAlign w:val="superscript"/>
          <w:lang w:eastAsia="ko-KR"/>
        </w:rPr>
        <w:t>2</w:t>
      </w:r>
      <w:r>
        <w:rPr>
          <w:rFonts w:ascii="Arial" w:hAnsi="Arial" w:cs="Arial"/>
          <w:b/>
          <w:lang w:eastAsia="ko-KR"/>
        </w:rPr>
        <w:t>S. Reid</w:t>
      </w:r>
    </w:p>
    <w:p w:rsidR="00D15A00" w:rsidRDefault="00D15A00" w:rsidP="00D15A00">
      <w:pPr>
        <w:jc w:val="center"/>
        <w:rPr>
          <w:lang w:eastAsia="ko-KR"/>
        </w:rPr>
      </w:pPr>
      <w:r>
        <w:t>Institute of Technology Sligo, Sligo, Ireland, mulligan.brian@itsligo.ie</w:t>
      </w:r>
      <w:r w:rsidRPr="00C34F34">
        <w:rPr>
          <w:rFonts w:hint="eastAsia"/>
          <w:vertAlign w:val="superscript"/>
          <w:lang w:eastAsia="ko-KR"/>
        </w:rPr>
        <w:t>1</w:t>
      </w:r>
      <w:r>
        <w:t xml:space="preserve">; </w:t>
      </w:r>
    </w:p>
    <w:p w:rsidR="00D15A00" w:rsidRPr="00171AF0" w:rsidRDefault="00D15A00" w:rsidP="00D15A00">
      <w:pPr>
        <w:jc w:val="center"/>
        <w:rPr>
          <w:rFonts w:ascii="Arial" w:hAnsi="Arial" w:cs="Arial"/>
          <w:sz w:val="20"/>
          <w:lang w:eastAsia="ko-KR"/>
        </w:rPr>
      </w:pPr>
      <w:r>
        <w:t>Institute of Technology Sligo, Sligo, Ireland, reid.stephen@itsligo.</w:t>
      </w:r>
      <w:r>
        <w:rPr>
          <w:lang w:eastAsia="ko-KR"/>
        </w:rPr>
        <w:t>ie</w:t>
      </w:r>
      <w:r w:rsidRPr="00C34F34">
        <w:rPr>
          <w:rFonts w:hint="eastAsia"/>
          <w:vertAlign w:val="superscript"/>
          <w:lang w:eastAsia="ko-KR"/>
        </w:rPr>
        <w:t>2</w:t>
      </w:r>
      <w:r>
        <w:t xml:space="preserve"> </w:t>
      </w:r>
    </w:p>
    <w:p w:rsidR="00D15A00" w:rsidRDefault="00D15A00" w:rsidP="00E3637F">
      <w:pPr>
        <w:rPr>
          <w:b/>
          <w:lang w:eastAsia="en-IE"/>
        </w:rPr>
      </w:pPr>
    </w:p>
    <w:p w:rsidR="00416160" w:rsidRPr="00D15A00" w:rsidRDefault="00D15A00" w:rsidP="00D15A00">
      <w:pPr>
        <w:pStyle w:val="Section"/>
        <w:rPr>
          <w:rFonts w:cs="Arial"/>
          <w:sz w:val="24"/>
          <w:szCs w:val="24"/>
        </w:rPr>
      </w:pPr>
      <w:r>
        <w:rPr>
          <w:rFonts w:cs="Arial"/>
          <w:sz w:val="24"/>
          <w:szCs w:val="24"/>
        </w:rPr>
        <w:t>Abstract</w:t>
      </w:r>
    </w:p>
    <w:p w:rsidR="00416160" w:rsidRPr="00D15A00" w:rsidRDefault="00416160" w:rsidP="00E3637F">
      <w:pPr>
        <w:rPr>
          <w:rFonts w:ascii="Arial" w:hAnsi="Arial" w:cs="Arial"/>
          <w:sz w:val="20"/>
          <w:szCs w:val="20"/>
        </w:rPr>
      </w:pPr>
      <w:r w:rsidRPr="00D15A00">
        <w:rPr>
          <w:rFonts w:ascii="Arial" w:hAnsi="Arial" w:cs="Arial"/>
          <w:sz w:val="20"/>
          <w:szCs w:val="20"/>
        </w:rPr>
        <w:t xml:space="preserve">Efforts by IT Sligo to transfer courses into an online distance learning format since 2002 ran into three significant obstacles, namely the expense of developing learning materials for niche areas, an inability to teach mathematical topics using asynchronous communication techniques, and a requirement to facilitate hands-on practical laboratory sessions.  The first two of these obstacles were addressed relatively quickly by the use of existing learning materials and by the use of synchronous conferencing systems for live online teaching.  This approach along with attendance at the Institute for practical laboratory sessions, led to rapid growth of online courses within the country, but restricted the recruitment of international students.  This final obstacle is now being addressed through the </w:t>
      </w:r>
      <w:r w:rsidR="00F24CE0" w:rsidRPr="00D15A00">
        <w:rPr>
          <w:rFonts w:ascii="Arial" w:hAnsi="Arial" w:cs="Arial"/>
          <w:sz w:val="20"/>
          <w:szCs w:val="20"/>
        </w:rPr>
        <w:t xml:space="preserve">EU funded project entitled Knowledge and Innovation Transfer in Engineering (KITE). The IT Sligo element of the project is to investigate, develop and invest in systems to deliver “practical” subjects online. </w:t>
      </w:r>
      <w:r w:rsidR="00CC0FC1" w:rsidRPr="00D15A00">
        <w:rPr>
          <w:rFonts w:ascii="Arial" w:hAnsi="Arial" w:cs="Arial"/>
          <w:sz w:val="20"/>
          <w:szCs w:val="20"/>
        </w:rPr>
        <w:t xml:space="preserve">To date this has resulted in the </w:t>
      </w:r>
      <w:r w:rsidRPr="00D15A00">
        <w:rPr>
          <w:rFonts w:ascii="Arial" w:hAnsi="Arial" w:cs="Arial"/>
          <w:sz w:val="20"/>
          <w:szCs w:val="20"/>
        </w:rPr>
        <w:t>development of a facility to allow remote access to laboratories where students can both control and monitor physical equipment.  Early testing with students has shown remote access to be extremely effective and popular, with students able to access equipment at any time during the day or night, and work is underway to increase the range of physical equipment available to distance learners.</w:t>
      </w:r>
    </w:p>
    <w:p w:rsidR="00CC0FC1" w:rsidRDefault="00CC0FC1" w:rsidP="00E3637F">
      <w:pPr>
        <w:rPr>
          <w:u w:val="single"/>
          <w:lang w:eastAsia="en-IE"/>
        </w:rPr>
      </w:pPr>
    </w:p>
    <w:p w:rsidR="00416160" w:rsidRPr="00D328EB" w:rsidRDefault="00726F99" w:rsidP="007737DD">
      <w:pPr>
        <w:pStyle w:val="ListParagraph"/>
        <w:numPr>
          <w:ilvl w:val="0"/>
          <w:numId w:val="10"/>
        </w:numPr>
        <w:ind w:left="0" w:firstLine="0"/>
        <w:rPr>
          <w:rFonts w:ascii="Arial" w:hAnsi="Arial" w:cs="Arial"/>
          <w:b/>
          <w:szCs w:val="24"/>
          <w:lang w:eastAsia="en-IE"/>
        </w:rPr>
      </w:pPr>
      <w:r w:rsidRPr="00D328EB">
        <w:rPr>
          <w:rFonts w:ascii="Arial" w:hAnsi="Arial" w:cs="Arial"/>
          <w:b/>
          <w:szCs w:val="24"/>
          <w:lang w:eastAsia="en-IE"/>
        </w:rPr>
        <w:t xml:space="preserve">Background </w:t>
      </w:r>
    </w:p>
    <w:p w:rsidR="00CC0FC1" w:rsidRPr="007F0B60" w:rsidRDefault="00416160" w:rsidP="00E3637F">
      <w:pPr>
        <w:rPr>
          <w:rFonts w:ascii="Arial" w:hAnsi="Arial" w:cs="Arial"/>
          <w:sz w:val="20"/>
          <w:szCs w:val="20"/>
          <w:lang w:eastAsia="en-IE"/>
        </w:rPr>
      </w:pPr>
      <w:r w:rsidRPr="007F0B60">
        <w:rPr>
          <w:rFonts w:ascii="Arial" w:hAnsi="Arial" w:cs="Arial"/>
          <w:sz w:val="20"/>
          <w:szCs w:val="20"/>
          <w:lang w:eastAsia="en-IE"/>
        </w:rPr>
        <w:t xml:space="preserve">In 2000 the Institute of Technology Sligo decided to deliver their full-time Honours B.Sc. in Quality Management as an online programme.  This was a “top-up” degree programme suitable for students who had previously completed an ordinary degree in a range of areas.  At this time, the full-time programme was becoming less popular, most likely because of the increase in the number of top-up and </w:t>
      </w:r>
      <w:r w:rsidRPr="007F0B60">
        <w:rPr>
          <w:rFonts w:ascii="Arial" w:hAnsi="Arial" w:cs="Arial"/>
          <w:i/>
          <w:iCs/>
          <w:sz w:val="20"/>
          <w:szCs w:val="20"/>
          <w:lang w:eastAsia="en-IE"/>
        </w:rPr>
        <w:t>ab-initio</w:t>
      </w:r>
      <w:r w:rsidRPr="007F0B60">
        <w:rPr>
          <w:rFonts w:ascii="Arial" w:hAnsi="Arial" w:cs="Arial"/>
          <w:sz w:val="20"/>
          <w:szCs w:val="20"/>
          <w:lang w:eastAsia="en-IE"/>
        </w:rPr>
        <w:t xml:space="preserve"> 4 year programmes available to students.  This was despite the fact that there was a shortage of Quality Management skills in industry and significant demand for private training in this area, and so it was believed that there would be significant demand for a part-time version of the programme that was easily accessible.</w:t>
      </w:r>
    </w:p>
    <w:p w:rsidR="00CC0FC1" w:rsidRPr="007F0B60" w:rsidRDefault="00CC0FC1">
      <w:pPr>
        <w:spacing w:after="200" w:line="276" w:lineRule="auto"/>
        <w:rPr>
          <w:rFonts w:ascii="Arial" w:hAnsi="Arial" w:cs="Arial"/>
          <w:sz w:val="20"/>
          <w:szCs w:val="20"/>
          <w:lang w:eastAsia="en-IE"/>
        </w:rPr>
      </w:pPr>
      <w:r w:rsidRPr="007F0B60">
        <w:rPr>
          <w:rFonts w:ascii="Arial" w:hAnsi="Arial" w:cs="Arial"/>
          <w:sz w:val="20"/>
          <w:szCs w:val="20"/>
          <w:lang w:eastAsia="en-IE"/>
        </w:rPr>
        <w:br w:type="page"/>
      </w:r>
    </w:p>
    <w:p w:rsidR="00416160" w:rsidRPr="00D328EB" w:rsidRDefault="00416160" w:rsidP="007737DD">
      <w:pPr>
        <w:pStyle w:val="ListParagraph"/>
        <w:numPr>
          <w:ilvl w:val="0"/>
          <w:numId w:val="10"/>
        </w:numPr>
        <w:ind w:left="0" w:firstLine="0"/>
        <w:rPr>
          <w:rFonts w:ascii="Arial" w:hAnsi="Arial" w:cs="Arial"/>
          <w:b/>
          <w:szCs w:val="24"/>
          <w:lang w:eastAsia="en-IE"/>
        </w:rPr>
      </w:pPr>
      <w:r w:rsidRPr="00D328EB">
        <w:rPr>
          <w:rFonts w:ascii="Arial" w:hAnsi="Arial" w:cs="Arial"/>
          <w:b/>
          <w:szCs w:val="24"/>
          <w:lang w:eastAsia="en-IE"/>
        </w:rPr>
        <w:lastRenderedPageBreak/>
        <w:t>Initial Design</w:t>
      </w:r>
    </w:p>
    <w:p w:rsidR="00416160" w:rsidRPr="007F0B60" w:rsidRDefault="00416160" w:rsidP="00E3637F">
      <w:pPr>
        <w:rPr>
          <w:rFonts w:ascii="Arial" w:hAnsi="Arial" w:cs="Arial"/>
          <w:sz w:val="20"/>
          <w:szCs w:val="20"/>
          <w:lang w:eastAsia="en-IE"/>
        </w:rPr>
      </w:pPr>
      <w:r w:rsidRPr="007F0B60">
        <w:rPr>
          <w:rFonts w:ascii="Arial" w:hAnsi="Arial" w:cs="Arial"/>
          <w:sz w:val="20"/>
          <w:szCs w:val="20"/>
          <w:lang w:eastAsia="en-IE"/>
        </w:rPr>
        <w:t xml:space="preserve">As there was very little finance available to invest in the development of the online version of the programme it was decided to use the </w:t>
      </w:r>
      <w:r w:rsidRPr="000017A1">
        <w:rPr>
          <w:rFonts w:ascii="Arial" w:hAnsi="Arial" w:cs="Arial"/>
          <w:i/>
          <w:sz w:val="20"/>
          <w:szCs w:val="20"/>
          <w:lang w:eastAsia="en-IE"/>
        </w:rPr>
        <w:t>wrap-around</w:t>
      </w:r>
      <w:r w:rsidRPr="007F0B60">
        <w:rPr>
          <w:rFonts w:ascii="Arial" w:hAnsi="Arial" w:cs="Arial"/>
          <w:sz w:val="20"/>
          <w:szCs w:val="20"/>
          <w:lang w:eastAsia="en-IE"/>
        </w:rPr>
        <w:t xml:space="preserve"> approach described by Mason (1).  The programme developed and launched in 2002, was essentially a self-study programme, based on existing resources such as books, lecturers’ notes and links to websites, with required learning activities (assignments) to be carried out with access to lecturer and peer support available through a Virtual Learning Environment (VLE).  Students were also required to attend the Institut</w:t>
      </w:r>
      <w:r w:rsidR="000B5F78" w:rsidRPr="007F0B60">
        <w:rPr>
          <w:rFonts w:ascii="Arial" w:hAnsi="Arial" w:cs="Arial"/>
          <w:sz w:val="20"/>
          <w:szCs w:val="20"/>
          <w:lang w:eastAsia="en-IE"/>
        </w:rPr>
        <w:t xml:space="preserve">e for laboratory practical </w:t>
      </w:r>
      <w:r w:rsidR="00DE1F59" w:rsidRPr="007F0B60">
        <w:rPr>
          <w:rFonts w:ascii="Arial" w:hAnsi="Arial" w:cs="Arial"/>
          <w:sz w:val="20"/>
          <w:szCs w:val="20"/>
          <w:lang w:eastAsia="en-IE"/>
        </w:rPr>
        <w:t xml:space="preserve">classes </w:t>
      </w:r>
      <w:r w:rsidRPr="007F0B60">
        <w:rPr>
          <w:rFonts w:ascii="Arial" w:hAnsi="Arial" w:cs="Arial"/>
          <w:sz w:val="20"/>
          <w:szCs w:val="20"/>
          <w:lang w:eastAsia="en-IE"/>
        </w:rPr>
        <w:t>a number of times per year.  As this approach did not require the development of any content, the only investment required was for training of lecturers.</w:t>
      </w:r>
    </w:p>
    <w:p w:rsidR="00CC0FC1" w:rsidRPr="007F0B60" w:rsidRDefault="00CC0FC1" w:rsidP="00E3637F">
      <w:pPr>
        <w:rPr>
          <w:rFonts w:ascii="Arial" w:hAnsi="Arial" w:cs="Arial"/>
          <w:sz w:val="20"/>
          <w:szCs w:val="20"/>
          <w:lang w:eastAsia="en-IE"/>
        </w:rPr>
      </w:pPr>
    </w:p>
    <w:p w:rsidR="00416160" w:rsidRPr="00D328EB" w:rsidRDefault="00416160" w:rsidP="007737DD">
      <w:pPr>
        <w:pStyle w:val="ListParagraph"/>
        <w:numPr>
          <w:ilvl w:val="0"/>
          <w:numId w:val="10"/>
        </w:numPr>
        <w:ind w:left="0" w:firstLine="0"/>
        <w:rPr>
          <w:rFonts w:ascii="Arial" w:hAnsi="Arial" w:cs="Arial"/>
          <w:b/>
          <w:szCs w:val="24"/>
          <w:lang w:eastAsia="en-IE"/>
        </w:rPr>
      </w:pPr>
      <w:r w:rsidRPr="00D328EB">
        <w:rPr>
          <w:rFonts w:ascii="Arial" w:hAnsi="Arial" w:cs="Arial"/>
          <w:b/>
          <w:szCs w:val="24"/>
          <w:lang w:eastAsia="en-IE"/>
        </w:rPr>
        <w:t xml:space="preserve">Success of the initial approach </w:t>
      </w:r>
    </w:p>
    <w:p w:rsidR="00416160" w:rsidRDefault="00416160" w:rsidP="00E3637F">
      <w:pPr>
        <w:rPr>
          <w:rFonts w:ascii="Arial" w:hAnsi="Arial" w:cs="Arial"/>
          <w:sz w:val="20"/>
          <w:szCs w:val="20"/>
          <w:lang w:eastAsia="en-IE"/>
        </w:rPr>
      </w:pPr>
      <w:r w:rsidRPr="007F0B60">
        <w:rPr>
          <w:rFonts w:ascii="Arial" w:hAnsi="Arial" w:cs="Arial"/>
          <w:sz w:val="20"/>
          <w:szCs w:val="20"/>
          <w:lang w:eastAsia="en-IE"/>
        </w:rPr>
        <w:t>The approach described above was not fully successful.  The programme consisted of three types of topics; management, technology and mathematics.  </w:t>
      </w:r>
      <w:r w:rsidRPr="007F0B60">
        <w:rPr>
          <w:rFonts w:ascii="Arial" w:hAnsi="Arial" w:cs="Arial"/>
          <w:sz w:val="20"/>
          <w:szCs w:val="20"/>
        </w:rPr>
        <w:t>At that point in time asynchronous discussion based learning had been shown to be quite effective in teaching topics in the humanities and indeed it was quite successful in this case in teaching</w:t>
      </w:r>
      <w:r w:rsidRPr="007F0B60">
        <w:rPr>
          <w:rFonts w:ascii="Arial" w:hAnsi="Arial" w:cs="Arial"/>
          <w:sz w:val="20"/>
          <w:szCs w:val="20"/>
          <w:lang w:eastAsia="en-IE"/>
        </w:rPr>
        <w:t xml:space="preserve"> management topics.  Self-study in technology topics, with irregular attendance at practical laboratories worked relatively well, but both students and lecturers felt that this was less than was normally acceptable.</w:t>
      </w:r>
    </w:p>
    <w:p w:rsidR="005A3EAC" w:rsidRPr="007F0B60" w:rsidRDefault="005A3EAC" w:rsidP="00E3637F">
      <w:pPr>
        <w:rPr>
          <w:rFonts w:ascii="Arial" w:hAnsi="Arial" w:cs="Arial"/>
          <w:sz w:val="20"/>
          <w:szCs w:val="20"/>
          <w:lang w:eastAsia="en-IE"/>
        </w:rPr>
      </w:pPr>
    </w:p>
    <w:p w:rsidR="00416160" w:rsidRPr="007F0B60" w:rsidRDefault="00416160" w:rsidP="00E3637F">
      <w:pPr>
        <w:rPr>
          <w:rFonts w:ascii="Arial" w:hAnsi="Arial" w:cs="Arial"/>
          <w:sz w:val="20"/>
          <w:szCs w:val="20"/>
          <w:lang w:eastAsia="en-IE"/>
        </w:rPr>
      </w:pPr>
      <w:r w:rsidRPr="007F0B60">
        <w:rPr>
          <w:rFonts w:ascii="Arial" w:hAnsi="Arial" w:cs="Arial"/>
          <w:sz w:val="20"/>
          <w:szCs w:val="20"/>
          <w:lang w:eastAsia="en-IE"/>
        </w:rPr>
        <w:t>In the mathematical topics, self-study with asynchronous support proved to be wholly inadequate.  Students found it difficult to study mathematical topics fr</w:t>
      </w:r>
      <w:r w:rsidR="000017A1">
        <w:rPr>
          <w:rFonts w:ascii="Arial" w:hAnsi="Arial" w:cs="Arial"/>
          <w:sz w:val="20"/>
          <w:szCs w:val="20"/>
          <w:lang w:eastAsia="en-IE"/>
        </w:rPr>
        <w:t>om a text-book alone.  They</w:t>
      </w:r>
      <w:r w:rsidRPr="007F0B60">
        <w:rPr>
          <w:rFonts w:ascii="Arial" w:hAnsi="Arial" w:cs="Arial"/>
          <w:sz w:val="20"/>
          <w:szCs w:val="20"/>
          <w:lang w:eastAsia="en-IE"/>
        </w:rPr>
        <w:t xml:space="preserve"> regularly encountered problems of understanding</w:t>
      </w:r>
      <w:r w:rsidR="000017A1">
        <w:rPr>
          <w:rFonts w:ascii="Arial" w:hAnsi="Arial" w:cs="Arial"/>
          <w:sz w:val="20"/>
          <w:szCs w:val="20"/>
          <w:lang w:eastAsia="en-IE"/>
        </w:rPr>
        <w:t>,</w:t>
      </w:r>
      <w:r w:rsidRPr="007F0B60">
        <w:rPr>
          <w:rFonts w:ascii="Arial" w:hAnsi="Arial" w:cs="Arial"/>
          <w:sz w:val="20"/>
          <w:szCs w:val="20"/>
          <w:lang w:eastAsia="en-IE"/>
        </w:rPr>
        <w:t xml:space="preserve"> or application of techniques in their assignments and asynchronous queries seemed to be unsuitable as a support mechanism.  In response to demand from the online students, monthly tutorials were arranged.  This improved the situation somewhat but students still found it difficult to study these topics in this format.</w:t>
      </w:r>
    </w:p>
    <w:p w:rsidR="00CC0FC1" w:rsidRPr="007F0B60" w:rsidRDefault="00CC0FC1" w:rsidP="00E3637F">
      <w:pPr>
        <w:rPr>
          <w:rFonts w:ascii="Arial" w:hAnsi="Arial" w:cs="Arial"/>
          <w:sz w:val="20"/>
          <w:szCs w:val="20"/>
          <w:lang w:eastAsia="en-IE"/>
        </w:rPr>
      </w:pPr>
    </w:p>
    <w:p w:rsidR="00416160" w:rsidRPr="00D328EB" w:rsidRDefault="00416160" w:rsidP="007737DD">
      <w:pPr>
        <w:pStyle w:val="ListParagraph"/>
        <w:numPr>
          <w:ilvl w:val="0"/>
          <w:numId w:val="10"/>
        </w:numPr>
        <w:ind w:left="0" w:firstLine="0"/>
        <w:rPr>
          <w:rFonts w:ascii="Arial" w:hAnsi="Arial" w:cs="Arial"/>
          <w:b/>
          <w:szCs w:val="24"/>
          <w:lang w:eastAsia="en-IE"/>
        </w:rPr>
      </w:pPr>
      <w:r w:rsidRPr="00D328EB">
        <w:rPr>
          <w:rFonts w:ascii="Arial" w:hAnsi="Arial" w:cs="Arial"/>
          <w:b/>
          <w:szCs w:val="24"/>
          <w:lang w:eastAsia="en-IE"/>
        </w:rPr>
        <w:t xml:space="preserve">Modifications to initial approach </w:t>
      </w:r>
    </w:p>
    <w:p w:rsidR="00416160" w:rsidRPr="007F0B60" w:rsidRDefault="00416160" w:rsidP="00E3637F">
      <w:pPr>
        <w:rPr>
          <w:rFonts w:ascii="Arial" w:hAnsi="Arial" w:cs="Arial"/>
          <w:sz w:val="20"/>
          <w:szCs w:val="20"/>
          <w:lang w:eastAsia="en-IE"/>
        </w:rPr>
      </w:pPr>
      <w:r w:rsidRPr="007F0B60">
        <w:rPr>
          <w:rFonts w:ascii="Arial" w:hAnsi="Arial" w:cs="Arial"/>
          <w:sz w:val="20"/>
          <w:szCs w:val="20"/>
          <w:lang w:eastAsia="en-IE"/>
        </w:rPr>
        <w:t>In 2003, weekly synchronous online classes for mathematical topics were introduced.  These were delivered using a PC based conferencing system, where lecturers could speak live to the students, display slides and write on the board.  Lecturers also had access to physical electronic whiteboards in classrooms, or small graphics tablets to make it possible for them to write easily on the conferencing system whiteboard.  Students could stop the lecturer at any time to ask a question, either by typing in a chat area or by tak</w:t>
      </w:r>
      <w:r w:rsidR="005A3EAC">
        <w:rPr>
          <w:rFonts w:ascii="Arial" w:hAnsi="Arial" w:cs="Arial"/>
          <w:sz w:val="20"/>
          <w:szCs w:val="20"/>
          <w:lang w:eastAsia="en-IE"/>
        </w:rPr>
        <w:t xml:space="preserve">ing control of the microphone.  </w:t>
      </w:r>
      <w:r w:rsidRPr="007F0B60">
        <w:rPr>
          <w:rFonts w:ascii="Arial" w:hAnsi="Arial" w:cs="Arial"/>
          <w:sz w:val="20"/>
          <w:szCs w:val="20"/>
          <w:lang w:eastAsia="en-IE"/>
        </w:rPr>
        <w:t>These live classes were recorded and were made available through the Virtual Learning Environment (Learning Management System) for students who could not attend.  These recordings also proved to be very valuable as revision resources.</w:t>
      </w:r>
    </w:p>
    <w:p w:rsidR="00416160" w:rsidRPr="007F0B60" w:rsidRDefault="00416160" w:rsidP="00E3637F">
      <w:pPr>
        <w:rPr>
          <w:rFonts w:ascii="Arial" w:hAnsi="Arial" w:cs="Arial"/>
          <w:sz w:val="20"/>
          <w:szCs w:val="20"/>
          <w:lang w:eastAsia="en-IE"/>
        </w:rPr>
      </w:pPr>
      <w:r w:rsidRPr="007F0B60">
        <w:rPr>
          <w:rFonts w:ascii="Arial" w:hAnsi="Arial" w:cs="Arial"/>
          <w:sz w:val="20"/>
          <w:szCs w:val="20"/>
          <w:lang w:eastAsia="en-IE"/>
        </w:rPr>
        <w:lastRenderedPageBreak/>
        <w:t>This new approach proved to be very effective for the teaching of these mathematical topics.  It also proved to be very popular with both students and lecturers and the facility was almost immediately taken up by all lecturers on the programme.  </w:t>
      </w:r>
    </w:p>
    <w:p w:rsidR="00CC0FC1" w:rsidRPr="007F0B60" w:rsidRDefault="00CC0FC1" w:rsidP="00E3637F">
      <w:pPr>
        <w:rPr>
          <w:rFonts w:ascii="Arial" w:hAnsi="Arial" w:cs="Arial"/>
          <w:sz w:val="20"/>
          <w:szCs w:val="20"/>
          <w:lang w:eastAsia="en-IE"/>
        </w:rPr>
      </w:pPr>
    </w:p>
    <w:p w:rsidR="00416160" w:rsidRPr="00D328EB" w:rsidRDefault="00416160" w:rsidP="007737DD">
      <w:pPr>
        <w:pStyle w:val="ListParagraph"/>
        <w:numPr>
          <w:ilvl w:val="0"/>
          <w:numId w:val="10"/>
        </w:numPr>
        <w:ind w:left="0" w:firstLine="0"/>
        <w:rPr>
          <w:rFonts w:ascii="Arial" w:hAnsi="Arial" w:cs="Arial"/>
          <w:b/>
          <w:szCs w:val="24"/>
          <w:lang w:eastAsia="en-IE"/>
        </w:rPr>
      </w:pPr>
      <w:r w:rsidRPr="00D328EB">
        <w:rPr>
          <w:rFonts w:ascii="Arial" w:hAnsi="Arial" w:cs="Arial"/>
          <w:b/>
          <w:szCs w:val="24"/>
          <w:lang w:eastAsia="en-IE"/>
        </w:rPr>
        <w:t xml:space="preserve">The emergent learning model </w:t>
      </w:r>
    </w:p>
    <w:p w:rsidR="00DE1F59" w:rsidRDefault="00416160" w:rsidP="00E3637F">
      <w:pPr>
        <w:rPr>
          <w:rFonts w:ascii="Arial" w:hAnsi="Arial" w:cs="Arial"/>
          <w:bCs/>
          <w:sz w:val="20"/>
          <w:szCs w:val="20"/>
          <w:lang w:eastAsia="en-IE"/>
        </w:rPr>
      </w:pPr>
      <w:r w:rsidRPr="007F0B60">
        <w:rPr>
          <w:rFonts w:ascii="Arial" w:hAnsi="Arial" w:cs="Arial"/>
          <w:sz w:val="20"/>
          <w:szCs w:val="20"/>
          <w:lang w:eastAsia="en-IE"/>
        </w:rPr>
        <w:t xml:space="preserve">Very quickly a standardised model of online learning emerged.  Almost all modules on the programme consisted of a one-hour live class every week, access to </w:t>
      </w:r>
      <w:r w:rsidR="000017A1">
        <w:rPr>
          <w:rFonts w:ascii="Arial" w:hAnsi="Arial" w:cs="Arial"/>
          <w:sz w:val="20"/>
          <w:szCs w:val="20"/>
          <w:lang w:eastAsia="en-IE"/>
        </w:rPr>
        <w:t>web-hosted</w:t>
      </w:r>
      <w:r w:rsidRPr="007F0B60">
        <w:rPr>
          <w:rFonts w:ascii="Arial" w:hAnsi="Arial" w:cs="Arial"/>
          <w:sz w:val="20"/>
          <w:szCs w:val="20"/>
          <w:lang w:eastAsia="en-IE"/>
        </w:rPr>
        <w:t xml:space="preserve"> resources, independent-learning activities and peer and lecturer support.  It was emphasised to lecturers that the independent-learning activities should still be considered as the core of the student’s learning experience and the live lectures (and recordings) should be considered to be just part of the resources supplied to enab</w:t>
      </w:r>
      <w:r w:rsidR="00DE1F59" w:rsidRPr="007F0B60">
        <w:rPr>
          <w:rFonts w:ascii="Arial" w:hAnsi="Arial" w:cs="Arial"/>
          <w:sz w:val="20"/>
          <w:szCs w:val="20"/>
          <w:lang w:eastAsia="en-IE"/>
        </w:rPr>
        <w:t>le these learning activities.  T</w:t>
      </w:r>
      <w:r w:rsidRPr="007F0B60">
        <w:rPr>
          <w:rFonts w:ascii="Arial" w:hAnsi="Arial" w:cs="Arial"/>
          <w:sz w:val="20"/>
          <w:szCs w:val="20"/>
          <w:lang w:eastAsia="en-IE"/>
        </w:rPr>
        <w:t>his model</w:t>
      </w:r>
      <w:r w:rsidR="00AF1CFA">
        <w:rPr>
          <w:rFonts w:ascii="Arial" w:hAnsi="Arial" w:cs="Arial"/>
          <w:sz w:val="20"/>
          <w:szCs w:val="20"/>
          <w:lang w:eastAsia="en-IE"/>
        </w:rPr>
        <w:t>, described in more detail by Mulligan (2)</w:t>
      </w:r>
      <w:r w:rsidRPr="007F0B60">
        <w:rPr>
          <w:rFonts w:ascii="Arial" w:hAnsi="Arial" w:cs="Arial"/>
          <w:sz w:val="20"/>
          <w:szCs w:val="20"/>
          <w:lang w:eastAsia="en-IE"/>
        </w:rPr>
        <w:t xml:space="preserve"> is illustrated in fig</w:t>
      </w:r>
      <w:r w:rsidR="00AF1CFA">
        <w:rPr>
          <w:rFonts w:ascii="Arial" w:hAnsi="Arial" w:cs="Arial"/>
          <w:sz w:val="20"/>
          <w:szCs w:val="20"/>
          <w:lang w:eastAsia="en-IE"/>
        </w:rPr>
        <w:t>ure</w:t>
      </w:r>
      <w:r w:rsidRPr="007F0B60">
        <w:rPr>
          <w:rFonts w:ascii="Arial" w:hAnsi="Arial" w:cs="Arial"/>
          <w:sz w:val="20"/>
          <w:szCs w:val="20"/>
          <w:lang w:eastAsia="en-IE"/>
        </w:rPr>
        <w:t xml:space="preserve"> </w:t>
      </w:r>
      <w:r w:rsidR="00DE1F59" w:rsidRPr="007F0B60">
        <w:rPr>
          <w:rFonts w:ascii="Arial" w:hAnsi="Arial" w:cs="Arial"/>
          <w:bCs/>
          <w:sz w:val="20"/>
          <w:szCs w:val="20"/>
          <w:lang w:eastAsia="en-IE"/>
        </w:rPr>
        <w:t>1.</w:t>
      </w:r>
    </w:p>
    <w:p w:rsidR="007F0B60" w:rsidRDefault="007F0B60" w:rsidP="00E3637F">
      <w:pPr>
        <w:rPr>
          <w:rFonts w:ascii="Arial" w:hAnsi="Arial" w:cs="Arial"/>
          <w:bCs/>
          <w:sz w:val="20"/>
          <w:szCs w:val="20"/>
          <w:lang w:eastAsia="en-IE"/>
        </w:rPr>
      </w:pPr>
    </w:p>
    <w:p w:rsidR="007F0B60" w:rsidRPr="007F0B60" w:rsidRDefault="007F0B60" w:rsidP="007F0B60">
      <w:pPr>
        <w:jc w:val="center"/>
        <w:rPr>
          <w:rFonts w:ascii="Arial" w:hAnsi="Arial" w:cs="Arial"/>
          <w:sz w:val="20"/>
          <w:szCs w:val="20"/>
          <w:lang w:eastAsia="en-IE"/>
        </w:rPr>
      </w:pPr>
      <w:r w:rsidRPr="007F0B60">
        <w:rPr>
          <w:rFonts w:ascii="Arial" w:hAnsi="Arial" w:cs="Arial"/>
          <w:sz w:val="20"/>
          <w:szCs w:val="20"/>
          <w:lang w:eastAsia="en-IE"/>
        </w:rPr>
        <w:t>Fig 1: Online Learning Model.</w:t>
      </w:r>
    </w:p>
    <w:p w:rsidR="007F0B60" w:rsidRPr="007F0B60" w:rsidRDefault="007F0B60" w:rsidP="00E3637F">
      <w:pPr>
        <w:rPr>
          <w:rFonts w:ascii="Arial" w:hAnsi="Arial" w:cs="Arial"/>
          <w:bCs/>
          <w:sz w:val="20"/>
          <w:szCs w:val="20"/>
          <w:lang w:eastAsia="en-IE"/>
        </w:rPr>
      </w:pPr>
    </w:p>
    <w:p w:rsidR="00DE1F59" w:rsidRPr="007F0B60" w:rsidRDefault="00DE1F59" w:rsidP="00DE1F59">
      <w:pPr>
        <w:jc w:val="center"/>
        <w:rPr>
          <w:rFonts w:ascii="Arial" w:hAnsi="Arial" w:cs="Arial"/>
          <w:bCs/>
          <w:sz w:val="20"/>
          <w:szCs w:val="20"/>
          <w:lang w:eastAsia="en-IE"/>
        </w:rPr>
      </w:pPr>
      <w:r w:rsidRPr="007F0B60">
        <w:rPr>
          <w:rFonts w:ascii="Arial" w:hAnsi="Arial" w:cs="Arial"/>
          <w:bCs/>
          <w:noProof/>
          <w:sz w:val="20"/>
          <w:szCs w:val="20"/>
          <w:lang w:eastAsia="en-IE"/>
        </w:rPr>
        <w:drawing>
          <wp:inline distT="0" distB="0" distL="0" distR="0">
            <wp:extent cx="5457825" cy="3571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57825" cy="3571875"/>
                    </a:xfrm>
                    <a:prstGeom prst="rect">
                      <a:avLst/>
                    </a:prstGeom>
                    <a:noFill/>
                    <a:ln w="9525">
                      <a:noFill/>
                      <a:miter lim="800000"/>
                      <a:headEnd/>
                      <a:tailEnd/>
                    </a:ln>
                  </pic:spPr>
                </pic:pic>
              </a:graphicData>
            </a:graphic>
          </wp:inline>
        </w:drawing>
      </w:r>
    </w:p>
    <w:p w:rsidR="00CC0FC1" w:rsidRPr="007F0B60" w:rsidRDefault="00CC0FC1" w:rsidP="00E3637F">
      <w:pPr>
        <w:rPr>
          <w:rFonts w:ascii="Arial" w:hAnsi="Arial" w:cs="Arial"/>
          <w:sz w:val="20"/>
          <w:szCs w:val="20"/>
          <w:lang w:eastAsia="en-IE"/>
        </w:rPr>
      </w:pPr>
    </w:p>
    <w:p w:rsidR="00416160" w:rsidRPr="00D328EB" w:rsidRDefault="00416160" w:rsidP="007737DD">
      <w:pPr>
        <w:pStyle w:val="ListParagraph"/>
        <w:numPr>
          <w:ilvl w:val="0"/>
          <w:numId w:val="10"/>
        </w:numPr>
        <w:ind w:left="0" w:firstLine="0"/>
        <w:rPr>
          <w:rFonts w:ascii="Arial" w:hAnsi="Arial" w:cs="Arial"/>
          <w:b/>
          <w:szCs w:val="24"/>
          <w:lang w:eastAsia="en-IE"/>
        </w:rPr>
      </w:pPr>
      <w:r w:rsidRPr="00D328EB">
        <w:rPr>
          <w:rFonts w:ascii="Arial" w:hAnsi="Arial" w:cs="Arial"/>
          <w:b/>
          <w:szCs w:val="24"/>
          <w:lang w:eastAsia="en-IE"/>
        </w:rPr>
        <w:t xml:space="preserve">Success and Growth </w:t>
      </w:r>
    </w:p>
    <w:p w:rsidR="005A3EAC" w:rsidRDefault="00416160" w:rsidP="00E3637F">
      <w:pPr>
        <w:rPr>
          <w:rFonts w:ascii="Arial" w:hAnsi="Arial" w:cs="Arial"/>
          <w:sz w:val="20"/>
          <w:szCs w:val="20"/>
          <w:lang w:eastAsia="en-IE"/>
        </w:rPr>
      </w:pPr>
      <w:r w:rsidRPr="007F0B60">
        <w:rPr>
          <w:rFonts w:ascii="Arial" w:hAnsi="Arial" w:cs="Arial"/>
          <w:sz w:val="20"/>
          <w:szCs w:val="20"/>
          <w:lang w:eastAsia="en-IE"/>
        </w:rPr>
        <w:t>The Institute set out two criteria to measure the pedagog</w:t>
      </w:r>
      <w:r w:rsidR="00726F99" w:rsidRPr="007F0B60">
        <w:rPr>
          <w:rFonts w:ascii="Arial" w:hAnsi="Arial" w:cs="Arial"/>
          <w:sz w:val="20"/>
          <w:szCs w:val="20"/>
          <w:lang w:eastAsia="en-IE"/>
        </w:rPr>
        <w:t>ical success of this initiative;</w:t>
      </w:r>
      <w:r w:rsidRPr="007F0B60">
        <w:rPr>
          <w:rFonts w:ascii="Arial" w:hAnsi="Arial" w:cs="Arial"/>
          <w:sz w:val="20"/>
          <w:szCs w:val="20"/>
          <w:lang w:eastAsia="en-IE"/>
        </w:rPr>
        <w:t xml:space="preserve"> </w:t>
      </w:r>
    </w:p>
    <w:p w:rsidR="005A3EAC" w:rsidRPr="005A3EAC" w:rsidRDefault="00DF3BCF" w:rsidP="005A3EAC">
      <w:pPr>
        <w:pStyle w:val="ListParagraph"/>
        <w:numPr>
          <w:ilvl w:val="0"/>
          <w:numId w:val="11"/>
        </w:numPr>
        <w:rPr>
          <w:rFonts w:ascii="Arial" w:hAnsi="Arial" w:cs="Arial"/>
          <w:sz w:val="20"/>
          <w:szCs w:val="20"/>
          <w:lang w:eastAsia="en-IE"/>
        </w:rPr>
      </w:pPr>
      <w:r>
        <w:rPr>
          <w:rFonts w:ascii="Arial" w:hAnsi="Arial" w:cs="Arial"/>
          <w:sz w:val="20"/>
          <w:szCs w:val="20"/>
          <w:lang w:eastAsia="en-IE"/>
        </w:rPr>
        <w:t>The</w:t>
      </w:r>
      <w:r w:rsidR="00416160" w:rsidRPr="005A3EAC">
        <w:rPr>
          <w:rFonts w:ascii="Arial" w:hAnsi="Arial" w:cs="Arial"/>
          <w:sz w:val="20"/>
          <w:szCs w:val="20"/>
          <w:lang w:eastAsia="en-IE"/>
        </w:rPr>
        <w:t xml:space="preserve"> </w:t>
      </w:r>
      <w:r w:rsidR="000017A1">
        <w:rPr>
          <w:rFonts w:ascii="Arial" w:hAnsi="Arial" w:cs="Arial"/>
          <w:sz w:val="20"/>
          <w:szCs w:val="20"/>
          <w:lang w:eastAsia="en-IE"/>
        </w:rPr>
        <w:t>level of achievement of</w:t>
      </w:r>
      <w:r w:rsidR="00416160" w:rsidRPr="005A3EAC">
        <w:rPr>
          <w:rFonts w:ascii="Arial" w:hAnsi="Arial" w:cs="Arial"/>
          <w:sz w:val="20"/>
          <w:szCs w:val="20"/>
          <w:lang w:eastAsia="en-IE"/>
        </w:rPr>
        <w:t xml:space="preserve"> the learning outcomes of the programme, and </w:t>
      </w:r>
    </w:p>
    <w:p w:rsidR="00416160" w:rsidRPr="005A3EAC" w:rsidRDefault="00DF3BCF" w:rsidP="005A3EAC">
      <w:pPr>
        <w:pStyle w:val="ListParagraph"/>
        <w:numPr>
          <w:ilvl w:val="0"/>
          <w:numId w:val="11"/>
        </w:numPr>
        <w:rPr>
          <w:rFonts w:ascii="Arial" w:hAnsi="Arial" w:cs="Arial"/>
          <w:sz w:val="20"/>
          <w:szCs w:val="20"/>
          <w:lang w:eastAsia="en-IE"/>
        </w:rPr>
      </w:pPr>
      <w:r>
        <w:rPr>
          <w:rFonts w:ascii="Arial" w:hAnsi="Arial" w:cs="Arial"/>
          <w:sz w:val="20"/>
          <w:szCs w:val="20"/>
          <w:lang w:eastAsia="en-IE"/>
        </w:rPr>
        <w:t>The</w:t>
      </w:r>
      <w:r w:rsidR="00416160" w:rsidRPr="005A3EAC">
        <w:rPr>
          <w:rFonts w:ascii="Arial" w:hAnsi="Arial" w:cs="Arial"/>
          <w:sz w:val="20"/>
          <w:szCs w:val="20"/>
          <w:lang w:eastAsia="en-IE"/>
        </w:rPr>
        <w:t xml:space="preserve"> </w:t>
      </w:r>
      <w:r>
        <w:rPr>
          <w:rFonts w:ascii="Arial" w:hAnsi="Arial" w:cs="Arial"/>
          <w:sz w:val="20"/>
          <w:szCs w:val="20"/>
          <w:lang w:eastAsia="en-IE"/>
        </w:rPr>
        <w:t>level of student satisfaction</w:t>
      </w:r>
      <w:r w:rsidR="00416160" w:rsidRPr="005A3EAC">
        <w:rPr>
          <w:rFonts w:ascii="Arial" w:hAnsi="Arial" w:cs="Arial"/>
          <w:sz w:val="20"/>
          <w:szCs w:val="20"/>
          <w:lang w:eastAsia="en-IE"/>
        </w:rPr>
        <w:t xml:space="preserve"> with their learning experiences.</w:t>
      </w:r>
    </w:p>
    <w:p w:rsidR="00D328EB" w:rsidRPr="007F0B60" w:rsidRDefault="00D328EB" w:rsidP="00E3637F">
      <w:pPr>
        <w:rPr>
          <w:rFonts w:ascii="Arial" w:hAnsi="Arial" w:cs="Arial"/>
          <w:sz w:val="20"/>
          <w:szCs w:val="20"/>
          <w:lang w:eastAsia="en-IE"/>
        </w:rPr>
      </w:pPr>
    </w:p>
    <w:p w:rsidR="005A3EAC" w:rsidRDefault="00416160" w:rsidP="00E3637F">
      <w:pPr>
        <w:rPr>
          <w:rFonts w:ascii="Arial" w:hAnsi="Arial" w:cs="Arial"/>
          <w:sz w:val="20"/>
          <w:szCs w:val="20"/>
          <w:lang w:eastAsia="en-IE"/>
        </w:rPr>
      </w:pPr>
      <w:r w:rsidRPr="007F0B60">
        <w:rPr>
          <w:rFonts w:ascii="Arial" w:hAnsi="Arial" w:cs="Arial"/>
          <w:sz w:val="20"/>
          <w:szCs w:val="20"/>
          <w:lang w:eastAsia="en-IE"/>
        </w:rPr>
        <w:lastRenderedPageBreak/>
        <w:t>To determine the first, the online learners were required to sit the same written examinations as the full-time students.  From the start, the online students</w:t>
      </w:r>
      <w:r w:rsidR="00726F99" w:rsidRPr="007F0B60">
        <w:rPr>
          <w:rFonts w:ascii="Arial" w:hAnsi="Arial" w:cs="Arial"/>
          <w:sz w:val="20"/>
          <w:szCs w:val="20"/>
          <w:lang w:eastAsia="en-IE"/>
        </w:rPr>
        <w:t>’</w:t>
      </w:r>
      <w:r w:rsidRPr="007F0B60">
        <w:rPr>
          <w:rFonts w:ascii="Arial" w:hAnsi="Arial" w:cs="Arial"/>
          <w:sz w:val="20"/>
          <w:szCs w:val="20"/>
          <w:lang w:eastAsia="en-IE"/>
        </w:rPr>
        <w:t xml:space="preserve"> performance in examinations, exceeded that of the full-time students.  It was certainly admitted that</w:t>
      </w:r>
      <w:r w:rsidR="000017A1">
        <w:rPr>
          <w:rFonts w:ascii="Arial" w:hAnsi="Arial" w:cs="Arial"/>
          <w:sz w:val="20"/>
          <w:szCs w:val="20"/>
          <w:lang w:eastAsia="en-IE"/>
        </w:rPr>
        <w:t>,</w:t>
      </w:r>
      <w:r w:rsidRPr="007F0B60">
        <w:rPr>
          <w:rFonts w:ascii="Arial" w:hAnsi="Arial" w:cs="Arial"/>
          <w:sz w:val="20"/>
          <w:szCs w:val="20"/>
          <w:lang w:eastAsia="en-IE"/>
        </w:rPr>
        <w:t xml:space="preserve"> because of the work situations and motivation of these part-time students, this could cert</w:t>
      </w:r>
      <w:r w:rsidRPr="007F0B60">
        <w:rPr>
          <w:rFonts w:ascii="Arial" w:hAnsi="Arial" w:cs="Arial"/>
          <w:sz w:val="20"/>
          <w:szCs w:val="20"/>
        </w:rPr>
        <w:t>a</w:t>
      </w:r>
      <w:r w:rsidRPr="007F0B60">
        <w:rPr>
          <w:rFonts w:ascii="Arial" w:hAnsi="Arial" w:cs="Arial"/>
          <w:sz w:val="20"/>
          <w:szCs w:val="20"/>
          <w:lang w:eastAsia="en-IE"/>
        </w:rPr>
        <w:t>inly not be taken as evidence that the medium was superior, but did seem to indicate that the medium was not proving to be any barrier to their learning.</w:t>
      </w:r>
      <w:r w:rsidR="00D328EB">
        <w:rPr>
          <w:rFonts w:ascii="Arial" w:hAnsi="Arial" w:cs="Arial"/>
          <w:sz w:val="20"/>
          <w:szCs w:val="20"/>
          <w:lang w:eastAsia="en-IE"/>
        </w:rPr>
        <w:t xml:space="preserve">  </w:t>
      </w:r>
    </w:p>
    <w:p w:rsidR="005A3EAC" w:rsidRDefault="005A3EAC" w:rsidP="00E3637F">
      <w:pPr>
        <w:rPr>
          <w:rFonts w:ascii="Arial" w:hAnsi="Arial" w:cs="Arial"/>
          <w:sz w:val="20"/>
          <w:szCs w:val="20"/>
          <w:lang w:eastAsia="en-IE"/>
        </w:rPr>
      </w:pPr>
    </w:p>
    <w:p w:rsidR="00416160" w:rsidRDefault="00416160" w:rsidP="00E3637F">
      <w:pPr>
        <w:rPr>
          <w:rFonts w:ascii="Arial" w:hAnsi="Arial" w:cs="Arial"/>
          <w:sz w:val="20"/>
          <w:szCs w:val="20"/>
          <w:lang w:eastAsia="en-IE"/>
        </w:rPr>
      </w:pPr>
      <w:r w:rsidRPr="007F0B60">
        <w:rPr>
          <w:rFonts w:ascii="Arial" w:hAnsi="Arial" w:cs="Arial"/>
          <w:sz w:val="20"/>
          <w:szCs w:val="20"/>
          <w:lang w:eastAsia="en-IE"/>
        </w:rPr>
        <w:t>Indeed, it was felt that student surveys of student satisfaction would reveal if, despite the good examination results, the students felt that the medium was inadequate.  As it emerged, the results from these surveys were excellent, with most students stating that the medium was effective and that they had a generally pleasant experience on the course.</w:t>
      </w:r>
    </w:p>
    <w:p w:rsidR="00D328EB" w:rsidRPr="007F0B60" w:rsidRDefault="00D328EB" w:rsidP="00E3637F">
      <w:pPr>
        <w:rPr>
          <w:rFonts w:ascii="Arial" w:hAnsi="Arial" w:cs="Arial"/>
          <w:sz w:val="20"/>
          <w:szCs w:val="20"/>
          <w:lang w:eastAsia="en-IE"/>
        </w:rPr>
      </w:pPr>
    </w:p>
    <w:p w:rsidR="00416160" w:rsidRDefault="00416160" w:rsidP="00E3637F">
      <w:pPr>
        <w:rPr>
          <w:rFonts w:ascii="Arial" w:hAnsi="Arial" w:cs="Arial"/>
          <w:sz w:val="20"/>
          <w:szCs w:val="20"/>
          <w:lang w:eastAsia="en-IE"/>
        </w:rPr>
      </w:pPr>
      <w:r w:rsidRPr="007F0B60">
        <w:rPr>
          <w:rFonts w:ascii="Arial" w:hAnsi="Arial" w:cs="Arial"/>
          <w:sz w:val="20"/>
          <w:szCs w:val="20"/>
          <w:lang w:eastAsia="en-IE"/>
        </w:rPr>
        <w:t>The initial success of this online programme encouraged the School of Engineering to put a whole series of programmes online in the following few years.  These included programmes in Mechatronics, Energy, Manufacturing Management as well a</w:t>
      </w:r>
      <w:r w:rsidR="00D328EB">
        <w:rPr>
          <w:rFonts w:ascii="Arial" w:hAnsi="Arial" w:cs="Arial"/>
          <w:sz w:val="20"/>
          <w:szCs w:val="20"/>
          <w:lang w:eastAsia="en-IE"/>
        </w:rPr>
        <w:t xml:space="preserve">s other programmes in Quality.  </w:t>
      </w:r>
      <w:r w:rsidRPr="007F0B60">
        <w:rPr>
          <w:rFonts w:ascii="Arial" w:hAnsi="Arial" w:cs="Arial"/>
          <w:sz w:val="20"/>
          <w:szCs w:val="20"/>
          <w:lang w:eastAsia="en-IE"/>
        </w:rPr>
        <w:t xml:space="preserve">The technique was also followed by two programmes in the School of Science.  Enrollments grew steadily to </w:t>
      </w:r>
      <w:r w:rsidR="0005401C" w:rsidRPr="007F0B60">
        <w:rPr>
          <w:rFonts w:ascii="Arial" w:hAnsi="Arial" w:cs="Arial"/>
          <w:sz w:val="20"/>
          <w:szCs w:val="20"/>
          <w:lang w:eastAsia="en-IE"/>
        </w:rPr>
        <w:t>almost</w:t>
      </w:r>
      <w:r w:rsidRPr="007F0B60">
        <w:rPr>
          <w:rFonts w:ascii="Arial" w:hAnsi="Arial" w:cs="Arial"/>
          <w:sz w:val="20"/>
          <w:szCs w:val="20"/>
          <w:lang w:eastAsia="en-IE"/>
        </w:rPr>
        <w:t xml:space="preserve"> 500 online students and fee income of over €2m in 200</w:t>
      </w:r>
      <w:r w:rsidR="0005401C" w:rsidRPr="007F0B60">
        <w:rPr>
          <w:rFonts w:ascii="Arial" w:hAnsi="Arial" w:cs="Arial"/>
          <w:sz w:val="20"/>
          <w:szCs w:val="20"/>
          <w:lang w:eastAsia="en-IE"/>
        </w:rPr>
        <w:t>9</w:t>
      </w:r>
      <w:r w:rsidRPr="007F0B60">
        <w:rPr>
          <w:rFonts w:ascii="Arial" w:hAnsi="Arial" w:cs="Arial"/>
          <w:sz w:val="20"/>
          <w:szCs w:val="20"/>
          <w:lang w:eastAsia="en-IE"/>
        </w:rPr>
        <w:t xml:space="preserve"> (see Fig </w:t>
      </w:r>
      <w:r w:rsidR="00DE1F59" w:rsidRPr="007F0B60">
        <w:rPr>
          <w:rFonts w:ascii="Arial" w:hAnsi="Arial" w:cs="Arial"/>
          <w:sz w:val="20"/>
          <w:szCs w:val="20"/>
          <w:lang w:eastAsia="en-IE"/>
        </w:rPr>
        <w:t>2</w:t>
      </w:r>
      <w:r w:rsidR="00D328EB">
        <w:rPr>
          <w:rFonts w:ascii="Arial" w:hAnsi="Arial" w:cs="Arial"/>
          <w:sz w:val="20"/>
          <w:szCs w:val="20"/>
          <w:lang w:eastAsia="en-IE"/>
        </w:rPr>
        <w:t xml:space="preserve">).  </w:t>
      </w:r>
      <w:r w:rsidRPr="007F0B60">
        <w:rPr>
          <w:rFonts w:ascii="Arial" w:hAnsi="Arial" w:cs="Arial"/>
          <w:sz w:val="20"/>
          <w:szCs w:val="20"/>
          <w:lang w:eastAsia="en-IE"/>
        </w:rPr>
        <w:t>Analysis of costs indicated that these programmes were profitable and generated a surplus for the Institute.</w:t>
      </w:r>
    </w:p>
    <w:p w:rsidR="007F0B60" w:rsidRDefault="007F0B60" w:rsidP="00E3637F">
      <w:pPr>
        <w:rPr>
          <w:rFonts w:ascii="Arial" w:hAnsi="Arial" w:cs="Arial"/>
          <w:sz w:val="20"/>
          <w:szCs w:val="20"/>
          <w:lang w:eastAsia="en-IE"/>
        </w:rPr>
      </w:pPr>
    </w:p>
    <w:p w:rsidR="007F0B60" w:rsidRPr="007F0B60" w:rsidRDefault="007F0B60" w:rsidP="007F0B60">
      <w:pPr>
        <w:jc w:val="center"/>
        <w:rPr>
          <w:rFonts w:ascii="Arial" w:hAnsi="Arial" w:cs="Arial"/>
          <w:sz w:val="20"/>
          <w:szCs w:val="20"/>
          <w:lang w:eastAsia="en-IE"/>
        </w:rPr>
      </w:pPr>
      <w:r w:rsidRPr="007F0B60">
        <w:rPr>
          <w:rFonts w:ascii="Arial" w:hAnsi="Arial" w:cs="Arial"/>
          <w:sz w:val="20"/>
          <w:szCs w:val="20"/>
          <w:lang w:eastAsia="en-IE"/>
        </w:rPr>
        <w:t>Fig 2: Growth of Enrolment in Online Learning at IT Sligo</w:t>
      </w:r>
    </w:p>
    <w:p w:rsidR="00CC0FC1" w:rsidRDefault="0005401C" w:rsidP="0005401C">
      <w:pPr>
        <w:jc w:val="center"/>
        <w:rPr>
          <w:rFonts w:ascii="Arial" w:hAnsi="Arial" w:cs="Arial"/>
          <w:sz w:val="20"/>
          <w:szCs w:val="20"/>
          <w:lang w:eastAsia="en-IE"/>
        </w:rPr>
      </w:pPr>
      <w:r w:rsidRPr="007F0B60">
        <w:rPr>
          <w:rFonts w:ascii="Arial" w:hAnsi="Arial" w:cs="Arial"/>
          <w:noProof/>
          <w:sz w:val="20"/>
          <w:szCs w:val="20"/>
          <w:lang w:eastAsia="en-IE"/>
        </w:rPr>
        <w:drawing>
          <wp:inline distT="0" distB="0" distL="0" distR="0">
            <wp:extent cx="5731510" cy="3395399"/>
            <wp:effectExtent l="1905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31510" cy="3395399"/>
                    </a:xfrm>
                    <a:prstGeom prst="rect">
                      <a:avLst/>
                    </a:prstGeom>
                    <a:noFill/>
                    <a:ln w="9525">
                      <a:noFill/>
                      <a:miter lim="800000"/>
                      <a:headEnd/>
                      <a:tailEnd/>
                    </a:ln>
                  </pic:spPr>
                </pic:pic>
              </a:graphicData>
            </a:graphic>
          </wp:inline>
        </w:drawing>
      </w:r>
    </w:p>
    <w:p w:rsidR="007737DD" w:rsidRPr="007F0B60" w:rsidRDefault="007737DD" w:rsidP="0005401C">
      <w:pPr>
        <w:jc w:val="center"/>
        <w:rPr>
          <w:rFonts w:ascii="Arial" w:hAnsi="Arial" w:cs="Arial"/>
          <w:sz w:val="20"/>
          <w:szCs w:val="20"/>
          <w:lang w:eastAsia="en-IE"/>
        </w:rPr>
      </w:pPr>
    </w:p>
    <w:p w:rsidR="00416160" w:rsidRPr="00D328EB" w:rsidRDefault="00416160" w:rsidP="007737DD">
      <w:pPr>
        <w:pStyle w:val="ListParagraph"/>
        <w:numPr>
          <w:ilvl w:val="0"/>
          <w:numId w:val="10"/>
        </w:numPr>
        <w:ind w:left="0" w:firstLine="0"/>
        <w:rPr>
          <w:rFonts w:ascii="Arial" w:hAnsi="Arial" w:cs="Arial"/>
          <w:b/>
          <w:szCs w:val="24"/>
          <w:lang w:eastAsia="en-IE"/>
        </w:rPr>
      </w:pPr>
      <w:r w:rsidRPr="00D328EB">
        <w:rPr>
          <w:rFonts w:ascii="Arial" w:hAnsi="Arial" w:cs="Arial"/>
          <w:b/>
          <w:szCs w:val="24"/>
          <w:lang w:eastAsia="en-IE"/>
        </w:rPr>
        <w:lastRenderedPageBreak/>
        <w:t xml:space="preserve">Attendance requirements as a limit to growth. </w:t>
      </w:r>
    </w:p>
    <w:p w:rsidR="00416160" w:rsidRDefault="00416160" w:rsidP="00E3637F">
      <w:pPr>
        <w:rPr>
          <w:rFonts w:ascii="Arial" w:hAnsi="Arial" w:cs="Arial"/>
          <w:sz w:val="20"/>
          <w:szCs w:val="20"/>
          <w:lang w:eastAsia="en-IE"/>
        </w:rPr>
      </w:pPr>
      <w:r w:rsidRPr="007F0B60">
        <w:rPr>
          <w:rFonts w:ascii="Arial" w:hAnsi="Arial" w:cs="Arial"/>
          <w:sz w:val="20"/>
          <w:szCs w:val="20"/>
          <w:lang w:eastAsia="en-IE"/>
        </w:rPr>
        <w:t>The growth of these programmes indicated that there might be significant potential in selling online courses internationally.  </w:t>
      </w:r>
      <w:r w:rsidR="000017A1" w:rsidRPr="007F0B60">
        <w:rPr>
          <w:rFonts w:ascii="Arial" w:hAnsi="Arial" w:cs="Arial"/>
          <w:sz w:val="20"/>
          <w:szCs w:val="20"/>
          <w:lang w:eastAsia="en-IE"/>
        </w:rPr>
        <w:t xml:space="preserve">Indeed, the later online programmes offered in Mechatronics proved to be even more successful, but these programme had an even larger practical element to them and required attendance around 4 times per year. </w:t>
      </w:r>
      <w:r w:rsidRPr="007F0B60">
        <w:rPr>
          <w:rFonts w:ascii="Arial" w:hAnsi="Arial" w:cs="Arial"/>
          <w:sz w:val="20"/>
          <w:szCs w:val="20"/>
          <w:lang w:eastAsia="en-IE"/>
        </w:rPr>
        <w:t xml:space="preserve">At this point, interest in our courses was being shown for potential overseas students and indeed we had a number of Irish students on our courses relocated overseas.  However, attendance at the Institute was a problem for such students and generally we had to advise international students against enrollment and only a very small number chose to do so.   </w:t>
      </w:r>
    </w:p>
    <w:p w:rsidR="00D328EB" w:rsidRPr="007F0B60" w:rsidRDefault="00D328EB" w:rsidP="00E3637F">
      <w:pPr>
        <w:rPr>
          <w:rFonts w:ascii="Arial" w:hAnsi="Arial" w:cs="Arial"/>
          <w:sz w:val="20"/>
          <w:szCs w:val="20"/>
          <w:lang w:eastAsia="en-IE"/>
        </w:rPr>
      </w:pPr>
    </w:p>
    <w:p w:rsidR="00416160" w:rsidRPr="00D328EB" w:rsidRDefault="00726F99" w:rsidP="007737DD">
      <w:pPr>
        <w:pStyle w:val="ListParagraph"/>
        <w:numPr>
          <w:ilvl w:val="0"/>
          <w:numId w:val="10"/>
        </w:numPr>
        <w:ind w:left="0" w:firstLine="0"/>
        <w:rPr>
          <w:rFonts w:ascii="Arial" w:hAnsi="Arial" w:cs="Arial"/>
          <w:b/>
          <w:szCs w:val="24"/>
          <w:lang w:eastAsia="en-IE"/>
        </w:rPr>
      </w:pPr>
      <w:r w:rsidRPr="00D328EB">
        <w:rPr>
          <w:rFonts w:ascii="Arial" w:hAnsi="Arial" w:cs="Arial"/>
          <w:b/>
          <w:szCs w:val="24"/>
          <w:lang w:eastAsia="en-IE"/>
        </w:rPr>
        <w:t>Remote Access to Laboratories</w:t>
      </w:r>
    </w:p>
    <w:p w:rsidR="00ED1FCC" w:rsidRPr="007F0B60" w:rsidRDefault="00CC0FC1">
      <w:pPr>
        <w:rPr>
          <w:rFonts w:ascii="Arial" w:eastAsia="Times New Roman" w:hAnsi="Arial" w:cs="Arial"/>
          <w:b/>
          <w:color w:val="000000"/>
          <w:sz w:val="20"/>
          <w:szCs w:val="20"/>
          <w:lang w:eastAsia="en-IE"/>
        </w:rPr>
      </w:pPr>
      <w:r w:rsidRPr="007F0B60">
        <w:rPr>
          <w:rFonts w:ascii="Arial" w:hAnsi="Arial" w:cs="Arial"/>
          <w:sz w:val="20"/>
          <w:szCs w:val="20"/>
        </w:rPr>
        <w:t xml:space="preserve">During </w:t>
      </w:r>
      <w:r w:rsidR="0043058C" w:rsidRPr="007F0B60">
        <w:rPr>
          <w:rFonts w:ascii="Arial" w:hAnsi="Arial" w:cs="Arial"/>
          <w:sz w:val="20"/>
          <w:szCs w:val="20"/>
        </w:rPr>
        <w:t xml:space="preserve">2009 IT Sligo commenced work on </w:t>
      </w:r>
      <w:r w:rsidRPr="007F0B60">
        <w:rPr>
          <w:rFonts w:ascii="Arial" w:hAnsi="Arial" w:cs="Arial"/>
          <w:sz w:val="20"/>
          <w:szCs w:val="20"/>
        </w:rPr>
        <w:t xml:space="preserve">the </w:t>
      </w:r>
      <w:r w:rsidR="0043058C" w:rsidRPr="007F0B60">
        <w:rPr>
          <w:rFonts w:ascii="Arial" w:hAnsi="Arial" w:cs="Arial"/>
          <w:sz w:val="20"/>
          <w:szCs w:val="20"/>
        </w:rPr>
        <w:t xml:space="preserve">cross-border EU funded </w:t>
      </w:r>
      <w:r w:rsidRPr="007F0B60">
        <w:rPr>
          <w:rFonts w:ascii="Arial" w:hAnsi="Arial" w:cs="Arial"/>
          <w:sz w:val="20"/>
          <w:szCs w:val="20"/>
        </w:rPr>
        <w:t xml:space="preserve">KITE </w:t>
      </w:r>
      <w:r w:rsidR="0043058C" w:rsidRPr="007F0B60">
        <w:rPr>
          <w:rFonts w:ascii="Arial" w:hAnsi="Arial" w:cs="Arial"/>
          <w:sz w:val="20"/>
          <w:szCs w:val="20"/>
        </w:rPr>
        <w:t>project</w:t>
      </w:r>
      <w:r w:rsidRPr="007F0B60">
        <w:rPr>
          <w:rFonts w:ascii="Arial" w:hAnsi="Arial" w:cs="Arial"/>
          <w:sz w:val="20"/>
          <w:szCs w:val="20"/>
        </w:rPr>
        <w:t xml:space="preserve">. The main aim of the IT Sligo element of KITE is </w:t>
      </w:r>
      <w:r w:rsidR="001A0ACA" w:rsidRPr="007F0B60">
        <w:rPr>
          <w:rFonts w:ascii="Arial" w:hAnsi="Arial" w:cs="Arial"/>
          <w:sz w:val="20"/>
          <w:szCs w:val="20"/>
        </w:rPr>
        <w:t>focused on facilitating the delivery of practical classes online. To date the solution</w:t>
      </w:r>
      <w:r w:rsidR="00880A23">
        <w:rPr>
          <w:rFonts w:ascii="Arial" w:hAnsi="Arial" w:cs="Arial"/>
          <w:sz w:val="20"/>
          <w:szCs w:val="20"/>
        </w:rPr>
        <w:t>, described in detail by McAfee and Reid (2),</w:t>
      </w:r>
      <w:r w:rsidR="001A0ACA" w:rsidRPr="007F0B60">
        <w:rPr>
          <w:rFonts w:ascii="Arial" w:hAnsi="Arial" w:cs="Arial"/>
          <w:sz w:val="20"/>
          <w:szCs w:val="20"/>
        </w:rPr>
        <w:t xml:space="preserve"> has been to </w:t>
      </w:r>
      <w:r w:rsidR="00417D85" w:rsidRPr="007F0B60">
        <w:rPr>
          <w:rFonts w:ascii="Arial" w:hAnsi="Arial" w:cs="Arial"/>
          <w:sz w:val="20"/>
          <w:szCs w:val="20"/>
          <w:lang w:eastAsia="en-IE"/>
        </w:rPr>
        <w:t>provid</w:t>
      </w:r>
      <w:r w:rsidR="001A0ACA" w:rsidRPr="007F0B60">
        <w:rPr>
          <w:rFonts w:ascii="Arial" w:hAnsi="Arial" w:cs="Arial"/>
          <w:sz w:val="20"/>
          <w:szCs w:val="20"/>
          <w:lang w:eastAsia="en-IE"/>
        </w:rPr>
        <w:t>e</w:t>
      </w:r>
      <w:r w:rsidR="00417D85" w:rsidRPr="007F0B60">
        <w:rPr>
          <w:rFonts w:ascii="Arial" w:hAnsi="Arial" w:cs="Arial"/>
          <w:sz w:val="20"/>
          <w:szCs w:val="20"/>
          <w:lang w:eastAsia="en-IE"/>
        </w:rPr>
        <w:t xml:space="preserve"> students with remote access to computers on campus. </w:t>
      </w:r>
      <w:r w:rsidR="002A5E8C" w:rsidRPr="007F0B60">
        <w:rPr>
          <w:rFonts w:ascii="Arial" w:hAnsi="Arial" w:cs="Arial"/>
          <w:sz w:val="20"/>
          <w:szCs w:val="20"/>
          <w:lang w:eastAsia="en-IE"/>
        </w:rPr>
        <w:t>This r</w:t>
      </w:r>
      <w:r w:rsidR="00D44EA9" w:rsidRPr="007F0B60">
        <w:rPr>
          <w:rFonts w:ascii="Arial" w:hAnsi="Arial" w:cs="Arial"/>
          <w:sz w:val="20"/>
          <w:szCs w:val="20"/>
          <w:lang w:eastAsia="en-IE"/>
        </w:rPr>
        <w:t xml:space="preserve">emote access facilitates distance learning </w:t>
      </w:r>
      <w:r w:rsidR="00726F99" w:rsidRPr="007F0B60">
        <w:rPr>
          <w:rFonts w:ascii="Arial" w:hAnsi="Arial" w:cs="Arial"/>
          <w:sz w:val="20"/>
          <w:szCs w:val="20"/>
          <w:lang w:eastAsia="en-IE"/>
        </w:rPr>
        <w:t>student</w:t>
      </w:r>
      <w:r w:rsidR="002A5E8C" w:rsidRPr="007F0B60">
        <w:rPr>
          <w:rFonts w:ascii="Arial" w:hAnsi="Arial" w:cs="Arial"/>
          <w:sz w:val="20"/>
          <w:szCs w:val="20"/>
          <w:lang w:eastAsia="en-IE"/>
        </w:rPr>
        <w:t>s</w:t>
      </w:r>
      <w:r w:rsidR="00D44EA9" w:rsidRPr="007F0B60">
        <w:rPr>
          <w:rFonts w:ascii="Arial" w:hAnsi="Arial" w:cs="Arial"/>
          <w:sz w:val="20"/>
          <w:szCs w:val="20"/>
          <w:lang w:eastAsia="en-IE"/>
        </w:rPr>
        <w:t xml:space="preserve"> </w:t>
      </w:r>
      <w:r w:rsidR="00746DA8" w:rsidRPr="007F0B60">
        <w:rPr>
          <w:rFonts w:ascii="Arial" w:hAnsi="Arial" w:cs="Arial"/>
          <w:sz w:val="20"/>
          <w:szCs w:val="20"/>
          <w:lang w:eastAsia="en-IE"/>
        </w:rPr>
        <w:t xml:space="preserve">with </w:t>
      </w:r>
      <w:r w:rsidR="00D44EA9" w:rsidRPr="007F0B60">
        <w:rPr>
          <w:rFonts w:ascii="Arial" w:hAnsi="Arial" w:cs="Arial"/>
          <w:sz w:val="20"/>
          <w:szCs w:val="20"/>
          <w:lang w:eastAsia="en-IE"/>
        </w:rPr>
        <w:t xml:space="preserve">access to </w:t>
      </w:r>
      <w:r w:rsidR="00E3637F" w:rsidRPr="007F0B60">
        <w:rPr>
          <w:rFonts w:ascii="Arial" w:hAnsi="Arial" w:cs="Arial"/>
          <w:sz w:val="20"/>
          <w:szCs w:val="20"/>
          <w:lang w:eastAsia="en-IE"/>
        </w:rPr>
        <w:t xml:space="preserve">both </w:t>
      </w:r>
      <w:r w:rsidR="002A5E8C" w:rsidRPr="007F0B60">
        <w:rPr>
          <w:rFonts w:ascii="Arial" w:hAnsi="Arial" w:cs="Arial"/>
          <w:sz w:val="20"/>
          <w:szCs w:val="20"/>
          <w:lang w:eastAsia="en-IE"/>
        </w:rPr>
        <w:t xml:space="preserve">software and </w:t>
      </w:r>
      <w:r w:rsidR="00BF5759" w:rsidRPr="007F0B60">
        <w:rPr>
          <w:rFonts w:ascii="Arial" w:hAnsi="Arial" w:cs="Arial"/>
          <w:sz w:val="20"/>
          <w:szCs w:val="20"/>
          <w:lang w:eastAsia="en-IE"/>
        </w:rPr>
        <w:t xml:space="preserve">purpose built </w:t>
      </w:r>
      <w:r w:rsidR="00272EE7" w:rsidRPr="007F0B60">
        <w:rPr>
          <w:rFonts w:ascii="Arial" w:hAnsi="Arial" w:cs="Arial"/>
          <w:sz w:val="20"/>
          <w:szCs w:val="20"/>
          <w:lang w:eastAsia="en-IE"/>
        </w:rPr>
        <w:t xml:space="preserve">physical equipment (Training Rigs) </w:t>
      </w:r>
      <w:r w:rsidR="00BF5759" w:rsidRPr="007F0B60">
        <w:rPr>
          <w:rFonts w:ascii="Arial" w:hAnsi="Arial" w:cs="Arial"/>
          <w:sz w:val="20"/>
          <w:szCs w:val="20"/>
          <w:lang w:eastAsia="en-IE"/>
        </w:rPr>
        <w:t xml:space="preserve">for </w:t>
      </w:r>
      <w:r w:rsidR="001A0ACA" w:rsidRPr="007F0B60">
        <w:rPr>
          <w:rFonts w:ascii="Arial" w:hAnsi="Arial" w:cs="Arial"/>
          <w:sz w:val="20"/>
          <w:szCs w:val="20"/>
          <w:lang w:eastAsia="en-IE"/>
        </w:rPr>
        <w:t xml:space="preserve">both </w:t>
      </w:r>
      <w:r w:rsidR="00F8128E" w:rsidRPr="007F0B60">
        <w:rPr>
          <w:rFonts w:ascii="Arial" w:hAnsi="Arial" w:cs="Arial"/>
          <w:sz w:val="20"/>
          <w:szCs w:val="20"/>
          <w:lang w:eastAsia="en-IE"/>
        </w:rPr>
        <w:t xml:space="preserve">on-demand </w:t>
      </w:r>
      <w:r w:rsidR="00BF5759" w:rsidRPr="007F0B60">
        <w:rPr>
          <w:rFonts w:ascii="Arial" w:hAnsi="Arial" w:cs="Arial"/>
          <w:sz w:val="20"/>
          <w:szCs w:val="20"/>
          <w:lang w:eastAsia="en-IE"/>
        </w:rPr>
        <w:t xml:space="preserve">experimentation </w:t>
      </w:r>
      <w:r w:rsidR="00726F99" w:rsidRPr="007F0B60">
        <w:rPr>
          <w:rFonts w:ascii="Arial" w:hAnsi="Arial" w:cs="Arial"/>
          <w:sz w:val="20"/>
          <w:szCs w:val="20"/>
          <w:lang w:eastAsia="en-IE"/>
        </w:rPr>
        <w:t>(</w:t>
      </w:r>
      <w:r w:rsidR="00F8128E" w:rsidRPr="007F0B60">
        <w:rPr>
          <w:rFonts w:ascii="Arial" w:hAnsi="Arial" w:cs="Arial"/>
          <w:sz w:val="20"/>
          <w:szCs w:val="20"/>
          <w:lang w:eastAsia="en-IE"/>
        </w:rPr>
        <w:t>24/7</w:t>
      </w:r>
      <w:r w:rsidR="00726F99" w:rsidRPr="007F0B60">
        <w:rPr>
          <w:rFonts w:ascii="Arial" w:hAnsi="Arial" w:cs="Arial"/>
          <w:sz w:val="20"/>
          <w:szCs w:val="20"/>
          <w:lang w:eastAsia="en-IE"/>
        </w:rPr>
        <w:t>)</w:t>
      </w:r>
      <w:r w:rsidR="00F8128E" w:rsidRPr="007F0B60">
        <w:rPr>
          <w:rFonts w:ascii="Arial" w:hAnsi="Arial" w:cs="Arial"/>
          <w:sz w:val="20"/>
          <w:szCs w:val="20"/>
          <w:lang w:eastAsia="en-IE"/>
        </w:rPr>
        <w:t xml:space="preserve">, </w:t>
      </w:r>
      <w:r w:rsidR="001A0ACA" w:rsidRPr="007F0B60">
        <w:rPr>
          <w:rFonts w:ascii="Arial" w:hAnsi="Arial" w:cs="Arial"/>
          <w:sz w:val="20"/>
          <w:szCs w:val="20"/>
          <w:lang w:eastAsia="en-IE"/>
        </w:rPr>
        <w:t xml:space="preserve">and </w:t>
      </w:r>
      <w:r w:rsidR="00BF3744" w:rsidRPr="007F0B60">
        <w:rPr>
          <w:rFonts w:ascii="Arial" w:hAnsi="Arial" w:cs="Arial"/>
          <w:sz w:val="20"/>
          <w:szCs w:val="20"/>
          <w:lang w:eastAsia="en-IE"/>
        </w:rPr>
        <w:t xml:space="preserve">live interactive online classes on both training rigs </w:t>
      </w:r>
      <w:r w:rsidR="00BF5759" w:rsidRPr="007F0B60">
        <w:rPr>
          <w:rFonts w:ascii="Arial" w:hAnsi="Arial" w:cs="Arial"/>
          <w:sz w:val="20"/>
          <w:szCs w:val="20"/>
          <w:lang w:eastAsia="en-IE"/>
        </w:rPr>
        <w:t xml:space="preserve">and </w:t>
      </w:r>
      <w:r w:rsidR="00BF3744" w:rsidRPr="007F0B60">
        <w:rPr>
          <w:rFonts w:ascii="Arial" w:hAnsi="Arial" w:cs="Arial"/>
          <w:sz w:val="20"/>
          <w:szCs w:val="20"/>
          <w:lang w:eastAsia="en-IE"/>
        </w:rPr>
        <w:t>software.</w:t>
      </w:r>
    </w:p>
    <w:p w:rsidR="00BF3744" w:rsidRPr="00D328EB" w:rsidRDefault="00D328EB" w:rsidP="00BF3744">
      <w:pPr>
        <w:pStyle w:val="Heading3"/>
        <w:rPr>
          <w:rFonts w:ascii="Arial" w:eastAsia="Times New Roman" w:hAnsi="Arial" w:cs="Arial"/>
          <w:bCs w:val="0"/>
          <w:color w:val="000000"/>
          <w:szCs w:val="24"/>
          <w:lang w:eastAsia="en-IE"/>
        </w:rPr>
      </w:pPr>
      <w:r w:rsidRPr="00D328EB">
        <w:rPr>
          <w:rFonts w:ascii="Arial" w:eastAsia="Times New Roman" w:hAnsi="Arial" w:cs="Arial"/>
          <w:bCs w:val="0"/>
          <w:color w:val="000000"/>
          <w:szCs w:val="24"/>
          <w:lang w:eastAsia="en-IE"/>
        </w:rPr>
        <w:t xml:space="preserve">8.1 </w:t>
      </w:r>
      <w:r w:rsidR="00BF3744" w:rsidRPr="00D328EB">
        <w:rPr>
          <w:rFonts w:ascii="Arial" w:eastAsia="Times New Roman" w:hAnsi="Arial" w:cs="Arial"/>
          <w:bCs w:val="0"/>
          <w:color w:val="000000"/>
          <w:szCs w:val="24"/>
          <w:lang w:eastAsia="en-IE"/>
        </w:rPr>
        <w:t>On-demand access</w:t>
      </w:r>
    </w:p>
    <w:p w:rsidR="008F10EB" w:rsidRDefault="00BF3744" w:rsidP="00BF3744">
      <w:pPr>
        <w:rPr>
          <w:rFonts w:ascii="Arial" w:eastAsia="Times New Roman" w:hAnsi="Arial" w:cs="Arial"/>
          <w:color w:val="000000"/>
          <w:sz w:val="20"/>
          <w:szCs w:val="20"/>
          <w:lang w:eastAsia="en-IE"/>
        </w:rPr>
      </w:pPr>
      <w:r w:rsidRPr="007F0B60">
        <w:rPr>
          <w:rFonts w:ascii="Arial" w:eastAsia="Times New Roman" w:hAnsi="Arial" w:cs="Arial"/>
          <w:color w:val="000000"/>
          <w:sz w:val="20"/>
          <w:szCs w:val="20"/>
          <w:lang w:eastAsia="en-IE"/>
        </w:rPr>
        <w:t xml:space="preserve">As illustrated in </w:t>
      </w:r>
      <w:r w:rsidR="008F10EB">
        <w:rPr>
          <w:rFonts w:ascii="Arial" w:eastAsia="Times New Roman" w:hAnsi="Arial" w:cs="Arial"/>
          <w:color w:val="000000"/>
          <w:sz w:val="20"/>
          <w:szCs w:val="20"/>
          <w:lang w:eastAsia="en-IE"/>
        </w:rPr>
        <w:t>figure 3</w:t>
      </w:r>
      <w:r w:rsidRPr="007F0B60">
        <w:rPr>
          <w:rFonts w:ascii="Arial" w:eastAsia="Times New Roman" w:hAnsi="Arial" w:cs="Arial"/>
          <w:color w:val="000000"/>
          <w:sz w:val="20"/>
          <w:szCs w:val="20"/>
          <w:lang w:eastAsia="en-IE"/>
        </w:rPr>
        <w:t xml:space="preserve"> below, students access the </w:t>
      </w:r>
      <w:r w:rsidR="0043058C" w:rsidRPr="007F0B60">
        <w:rPr>
          <w:rFonts w:ascii="Arial" w:eastAsia="Times New Roman" w:hAnsi="Arial" w:cs="Arial"/>
          <w:color w:val="000000"/>
          <w:sz w:val="20"/>
          <w:szCs w:val="20"/>
          <w:lang w:eastAsia="en-IE"/>
        </w:rPr>
        <w:t xml:space="preserve">software/ </w:t>
      </w:r>
      <w:r w:rsidRPr="007F0B60">
        <w:rPr>
          <w:rFonts w:ascii="Arial" w:eastAsia="Times New Roman" w:hAnsi="Arial" w:cs="Arial"/>
          <w:color w:val="000000"/>
          <w:sz w:val="20"/>
          <w:szCs w:val="20"/>
          <w:lang w:eastAsia="en-IE"/>
        </w:rPr>
        <w:t>training rig in IT Sligo’s “remote access lab” from home</w:t>
      </w:r>
      <w:r w:rsidR="001A0ACA" w:rsidRPr="007F0B60">
        <w:rPr>
          <w:rFonts w:ascii="Arial" w:eastAsia="Times New Roman" w:hAnsi="Arial" w:cs="Arial"/>
          <w:color w:val="000000"/>
          <w:sz w:val="20"/>
          <w:szCs w:val="20"/>
          <w:lang w:eastAsia="en-IE"/>
        </w:rPr>
        <w:t xml:space="preserve">, or wherever they happen to be, at a time that suits them. </w:t>
      </w:r>
      <w:r w:rsidRPr="007F0B60">
        <w:rPr>
          <w:rFonts w:ascii="Arial" w:eastAsia="Times New Roman" w:hAnsi="Arial" w:cs="Arial"/>
          <w:color w:val="000000"/>
          <w:sz w:val="20"/>
          <w:szCs w:val="20"/>
          <w:lang w:eastAsia="en-IE"/>
        </w:rPr>
        <w:t>In this case the student can write</w:t>
      </w:r>
      <w:r w:rsidR="00746DA8" w:rsidRPr="007F0B60">
        <w:rPr>
          <w:rFonts w:ascii="Arial" w:eastAsia="Times New Roman" w:hAnsi="Arial" w:cs="Arial"/>
          <w:color w:val="000000"/>
          <w:sz w:val="20"/>
          <w:szCs w:val="20"/>
          <w:lang w:eastAsia="en-IE"/>
        </w:rPr>
        <w:t>,</w:t>
      </w:r>
      <w:r w:rsidR="0033504A" w:rsidRPr="007F0B60">
        <w:rPr>
          <w:rFonts w:ascii="Arial" w:eastAsia="Times New Roman" w:hAnsi="Arial" w:cs="Arial"/>
          <w:color w:val="000000"/>
          <w:sz w:val="20"/>
          <w:szCs w:val="20"/>
          <w:lang w:eastAsia="en-IE"/>
        </w:rPr>
        <w:t xml:space="preserve"> and test their </w:t>
      </w:r>
      <w:r w:rsidRPr="007F0B60">
        <w:rPr>
          <w:rFonts w:ascii="Arial" w:eastAsia="Times New Roman" w:hAnsi="Arial" w:cs="Arial"/>
          <w:color w:val="000000"/>
          <w:sz w:val="20"/>
          <w:szCs w:val="20"/>
          <w:lang w:eastAsia="en-IE"/>
        </w:rPr>
        <w:t xml:space="preserve">PLC program </w:t>
      </w:r>
      <w:r w:rsidR="0033504A" w:rsidRPr="007F0B60">
        <w:rPr>
          <w:rFonts w:ascii="Arial" w:eastAsia="Times New Roman" w:hAnsi="Arial" w:cs="Arial"/>
          <w:color w:val="000000"/>
          <w:sz w:val="20"/>
          <w:szCs w:val="20"/>
          <w:lang w:eastAsia="en-IE"/>
        </w:rPr>
        <w:t>by</w:t>
      </w:r>
      <w:r w:rsidR="00B041BD" w:rsidRPr="007F0B60">
        <w:rPr>
          <w:rFonts w:ascii="Arial" w:eastAsia="Times New Roman" w:hAnsi="Arial" w:cs="Arial"/>
          <w:color w:val="000000"/>
          <w:sz w:val="20"/>
          <w:szCs w:val="20"/>
          <w:lang w:eastAsia="en-IE"/>
        </w:rPr>
        <w:t xml:space="preserve"> running the programme and </w:t>
      </w:r>
      <w:r w:rsidR="0033504A" w:rsidRPr="007F0B60">
        <w:rPr>
          <w:rFonts w:ascii="Arial" w:eastAsia="Times New Roman" w:hAnsi="Arial" w:cs="Arial"/>
          <w:color w:val="000000"/>
          <w:sz w:val="20"/>
          <w:szCs w:val="20"/>
          <w:lang w:eastAsia="en-IE"/>
        </w:rPr>
        <w:t xml:space="preserve">viewing the </w:t>
      </w:r>
      <w:r w:rsidRPr="007F0B60">
        <w:rPr>
          <w:rFonts w:ascii="Arial" w:eastAsia="Times New Roman" w:hAnsi="Arial" w:cs="Arial"/>
          <w:color w:val="000000"/>
          <w:sz w:val="20"/>
          <w:szCs w:val="20"/>
          <w:lang w:eastAsia="en-IE"/>
        </w:rPr>
        <w:t>operation of training rig through webcam</w:t>
      </w:r>
      <w:r w:rsidR="008F10EB">
        <w:rPr>
          <w:rFonts w:ascii="Arial" w:eastAsia="Times New Roman" w:hAnsi="Arial" w:cs="Arial"/>
          <w:color w:val="000000"/>
          <w:sz w:val="20"/>
          <w:szCs w:val="20"/>
          <w:lang w:eastAsia="en-IE"/>
        </w:rPr>
        <w:t>.</w:t>
      </w:r>
    </w:p>
    <w:p w:rsidR="008F10EB" w:rsidRDefault="008F10EB" w:rsidP="00BF3744">
      <w:pPr>
        <w:rPr>
          <w:rFonts w:ascii="Arial" w:eastAsia="Times New Roman" w:hAnsi="Arial" w:cs="Arial"/>
          <w:color w:val="000000"/>
          <w:sz w:val="20"/>
          <w:szCs w:val="20"/>
          <w:lang w:eastAsia="en-IE"/>
        </w:rPr>
      </w:pPr>
    </w:p>
    <w:p w:rsidR="00BF3744" w:rsidRPr="007F0B60" w:rsidRDefault="008F10EB" w:rsidP="008F10EB">
      <w:pPr>
        <w:jc w:val="center"/>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Fig. 3: Illustration of student access to training rig</w:t>
      </w:r>
      <w:r w:rsidR="00BF3744" w:rsidRPr="007F0B60">
        <w:rPr>
          <w:rFonts w:ascii="Arial" w:eastAsia="Times New Roman" w:hAnsi="Arial" w:cs="Arial"/>
          <w:color w:val="000000"/>
          <w:sz w:val="20"/>
          <w:szCs w:val="20"/>
          <w:lang w:eastAsia="en-IE"/>
        </w:rPr>
        <w:t>.</w:t>
      </w:r>
    </w:p>
    <w:p w:rsidR="00BF3744" w:rsidRPr="007F0B60" w:rsidRDefault="00ED1FCC" w:rsidP="00BF3744">
      <w:pPr>
        <w:rPr>
          <w:rFonts w:ascii="Arial" w:eastAsia="Times New Roman" w:hAnsi="Arial" w:cs="Arial"/>
          <w:color w:val="000000"/>
          <w:sz w:val="20"/>
          <w:szCs w:val="20"/>
          <w:lang w:eastAsia="en-IE"/>
        </w:rPr>
      </w:pPr>
      <w:r w:rsidRPr="007F0B60">
        <w:rPr>
          <w:rFonts w:ascii="Arial" w:eastAsia="Times New Roman" w:hAnsi="Arial" w:cs="Arial"/>
          <w:noProof/>
          <w:color w:val="000000"/>
          <w:sz w:val="20"/>
          <w:szCs w:val="20"/>
          <w:lang w:eastAsia="en-IE"/>
        </w:rPr>
        <w:drawing>
          <wp:anchor distT="0" distB="0" distL="114300" distR="114300" simplePos="0" relativeHeight="251659264" behindDoc="1" locked="0" layoutInCell="1" allowOverlap="1">
            <wp:simplePos x="0" y="0"/>
            <wp:positionH relativeFrom="margin">
              <wp:posOffset>1562100</wp:posOffset>
            </wp:positionH>
            <wp:positionV relativeFrom="paragraph">
              <wp:posOffset>1270</wp:posOffset>
            </wp:positionV>
            <wp:extent cx="2505075" cy="1914525"/>
            <wp:effectExtent l="19050" t="19050" r="28575" b="28575"/>
            <wp:wrapTight wrapText="bothSides">
              <wp:wrapPolygon edited="0">
                <wp:start x="-164" y="-215"/>
                <wp:lineTo x="-164" y="21922"/>
                <wp:lineTo x="21846" y="21922"/>
                <wp:lineTo x="21846" y="-215"/>
                <wp:lineTo x="-164" y="-215"/>
              </wp:wrapPolygon>
            </wp:wrapTight>
            <wp:docPr id="3" name="Picture 2" descr="Gotomypc 014.JPG"/>
            <wp:cNvGraphicFramePr/>
            <a:graphic xmlns:a="http://schemas.openxmlformats.org/drawingml/2006/main">
              <a:graphicData uri="http://schemas.openxmlformats.org/drawingml/2006/picture">
                <pic:pic xmlns:pic="http://schemas.openxmlformats.org/drawingml/2006/picture">
                  <pic:nvPicPr>
                    <pic:cNvPr id="17" name="Picture 16" descr="Gotomypc 014.JPG"/>
                    <pic:cNvPicPr>
                      <a:picLocks noChangeAspect="1"/>
                    </pic:cNvPicPr>
                  </pic:nvPicPr>
                  <pic:blipFill>
                    <a:blip r:embed="rId9" cstate="print"/>
                    <a:srcRect/>
                    <a:stretch>
                      <a:fillRect/>
                    </a:stretch>
                  </pic:blipFill>
                  <pic:spPr bwMode="auto">
                    <a:xfrm>
                      <a:off x="0" y="0"/>
                      <a:ext cx="2505075" cy="1914525"/>
                    </a:xfrm>
                    <a:prstGeom prst="rect">
                      <a:avLst/>
                    </a:prstGeom>
                    <a:noFill/>
                    <a:ln w="9525">
                      <a:solidFill>
                        <a:schemeClr val="tx2"/>
                      </a:solidFill>
                      <a:miter lim="800000"/>
                      <a:headEnd/>
                      <a:tailEnd/>
                    </a:ln>
                  </pic:spPr>
                </pic:pic>
              </a:graphicData>
            </a:graphic>
          </wp:anchor>
        </w:drawing>
      </w:r>
    </w:p>
    <w:p w:rsidR="00BF3744" w:rsidRPr="007F0B60" w:rsidRDefault="00F8128E" w:rsidP="00BF3744">
      <w:pPr>
        <w:rPr>
          <w:rFonts w:ascii="Arial" w:hAnsi="Arial" w:cs="Arial"/>
          <w:sz w:val="20"/>
          <w:szCs w:val="20"/>
        </w:rPr>
      </w:pPr>
      <w:r w:rsidRPr="007F0B60">
        <w:rPr>
          <w:rFonts w:ascii="Arial" w:hAnsi="Arial" w:cs="Arial"/>
          <w:noProof/>
          <w:sz w:val="20"/>
          <w:szCs w:val="20"/>
          <w:lang w:eastAsia="en-IE"/>
        </w:rPr>
        <w:drawing>
          <wp:anchor distT="0" distB="0" distL="114300" distR="114300" simplePos="0" relativeHeight="251661312" behindDoc="1" locked="0" layoutInCell="1" allowOverlap="1">
            <wp:simplePos x="0" y="0"/>
            <wp:positionH relativeFrom="margin">
              <wp:posOffset>-85725</wp:posOffset>
            </wp:positionH>
            <wp:positionV relativeFrom="paragraph">
              <wp:posOffset>275590</wp:posOffset>
            </wp:positionV>
            <wp:extent cx="1200150" cy="1638300"/>
            <wp:effectExtent l="38100" t="19050" r="19050" b="19050"/>
            <wp:wrapTight wrapText="bothSides">
              <wp:wrapPolygon edited="0">
                <wp:start x="-686" y="-251"/>
                <wp:lineTo x="-686" y="21851"/>
                <wp:lineTo x="21943" y="21851"/>
                <wp:lineTo x="21943" y="-251"/>
                <wp:lineTo x="-686" y="-251"/>
              </wp:wrapPolygon>
            </wp:wrapTight>
            <wp:docPr id="5" name="Picture 3" descr="DSC00036.JPG"/>
            <wp:cNvGraphicFramePr/>
            <a:graphic xmlns:a="http://schemas.openxmlformats.org/drawingml/2006/main">
              <a:graphicData uri="http://schemas.openxmlformats.org/drawingml/2006/picture">
                <pic:pic xmlns:pic="http://schemas.openxmlformats.org/drawingml/2006/picture">
                  <pic:nvPicPr>
                    <pic:cNvPr id="15363" name="Picture 4" descr="DSC00036.JPG"/>
                    <pic:cNvPicPr>
                      <a:picLocks noChangeAspect="1"/>
                    </pic:cNvPicPr>
                  </pic:nvPicPr>
                  <pic:blipFill>
                    <a:blip r:embed="rId10" cstate="print"/>
                    <a:srcRect/>
                    <a:stretch>
                      <a:fillRect/>
                    </a:stretch>
                  </pic:blipFill>
                  <pic:spPr bwMode="auto">
                    <a:xfrm>
                      <a:off x="0" y="0"/>
                      <a:ext cx="1200150" cy="1638300"/>
                    </a:xfrm>
                    <a:prstGeom prst="rect">
                      <a:avLst/>
                    </a:prstGeom>
                    <a:noFill/>
                    <a:ln w="9525">
                      <a:solidFill>
                        <a:schemeClr val="tx2"/>
                      </a:solidFill>
                      <a:miter lim="800000"/>
                      <a:headEnd/>
                      <a:tailEnd/>
                    </a:ln>
                  </pic:spPr>
                </pic:pic>
              </a:graphicData>
            </a:graphic>
          </wp:anchor>
        </w:drawing>
      </w:r>
      <w:r w:rsidR="00CA3792">
        <w:rPr>
          <w:rFonts w:ascii="Arial" w:hAnsi="Arial" w:cs="Arial"/>
          <w:noProof/>
          <w:sz w:val="20"/>
          <w:szCs w:val="20"/>
          <w:lang w:eastAsia="en-IE"/>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316.3pt;margin-top:13.65pt;width:70.55pt;height:89.1pt;rotation:23890442fd;z-index:251663360;mso-position-horizontal-relative:text;mso-position-vertical-relative:text" coordsize="21997,21600" adj="-5967264,,397" path="wr-21203,,21997,43200,,4,21997,21600nfewr-21203,,21997,43200,,4,21997,21600l397,21600nsxe" strokecolor="red" strokeweight="1.5pt">
            <v:stroke startarrow="block" endarrow="block"/>
            <v:path o:connectlocs="0,4;21997,21600;397,21600"/>
          </v:shape>
        </w:pict>
      </w:r>
      <w:r w:rsidR="00CA3792">
        <w:rPr>
          <w:rFonts w:ascii="Arial" w:hAnsi="Arial" w:cs="Arial"/>
          <w:noProof/>
          <w:sz w:val="20"/>
          <w:szCs w:val="20"/>
          <w:lang w:eastAsia="en-IE"/>
        </w:rPr>
        <w:pict>
          <v:shape id="_x0000_s1026" type="#_x0000_t19" style="position:absolute;left:0;text-align:left;margin-left:44.1pt;margin-top:14.6pt;width:91.95pt;height:84.35pt;rotation:17271728fd;z-index:251662336;mso-position-horizontal-relative:text;mso-position-vertical-relative:text" coordsize="21558,21599" adj="-5871004,-233167,,21599" path="wr-21600,-1,21600,43199,157,,21558,20259nfewr-21600,-1,21600,43199,157,,21558,20259l,21599nsxe" strokecolor="red" strokeweight="1.5pt">
            <v:stroke startarrow="block" endarrow="block"/>
            <v:path o:connectlocs="157,0;21558,20259;0,21599"/>
          </v:shape>
        </w:pict>
      </w:r>
    </w:p>
    <w:p w:rsidR="00BF3744" w:rsidRPr="007F0B60" w:rsidRDefault="00F8128E" w:rsidP="00BF3744">
      <w:pPr>
        <w:rPr>
          <w:rFonts w:ascii="Arial" w:hAnsi="Arial" w:cs="Arial"/>
          <w:sz w:val="20"/>
          <w:szCs w:val="20"/>
        </w:rPr>
      </w:pPr>
      <w:r w:rsidRPr="007F0B60">
        <w:rPr>
          <w:rFonts w:ascii="Arial" w:hAnsi="Arial" w:cs="Arial"/>
          <w:noProof/>
          <w:sz w:val="20"/>
          <w:szCs w:val="20"/>
          <w:lang w:eastAsia="en-IE"/>
        </w:rPr>
        <w:drawing>
          <wp:anchor distT="0" distB="0" distL="114300" distR="114300" simplePos="0" relativeHeight="251660288" behindDoc="1" locked="0" layoutInCell="1" allowOverlap="1">
            <wp:simplePos x="0" y="0"/>
            <wp:positionH relativeFrom="margin">
              <wp:posOffset>4543425</wp:posOffset>
            </wp:positionH>
            <wp:positionV relativeFrom="paragraph">
              <wp:posOffset>241935</wp:posOffset>
            </wp:positionV>
            <wp:extent cx="1228725" cy="1390650"/>
            <wp:effectExtent l="19050" t="0" r="9525" b="0"/>
            <wp:wrapTight wrapText="bothSides">
              <wp:wrapPolygon edited="0">
                <wp:start x="-335" y="0"/>
                <wp:lineTo x="-335" y="21304"/>
                <wp:lineTo x="21767" y="21304"/>
                <wp:lineTo x="21767" y="0"/>
                <wp:lineTo x="-335" y="0"/>
              </wp:wrapPolygon>
            </wp:wrapTight>
            <wp:docPr id="6" name="Picture 4"/>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noChangeArrowheads="1"/>
                    </pic:cNvPicPr>
                  </pic:nvPicPr>
                  <pic:blipFill>
                    <a:blip r:embed="rId11" cstate="print"/>
                    <a:srcRect/>
                    <a:stretch>
                      <a:fillRect/>
                    </a:stretch>
                  </pic:blipFill>
                  <pic:spPr bwMode="auto">
                    <a:xfrm>
                      <a:off x="0" y="0"/>
                      <a:ext cx="1228725" cy="1390650"/>
                    </a:xfrm>
                    <a:prstGeom prst="rect">
                      <a:avLst/>
                    </a:prstGeom>
                    <a:noFill/>
                    <a:ln w="9525">
                      <a:noFill/>
                      <a:miter lim="800000"/>
                      <a:headEnd/>
                      <a:tailEnd/>
                    </a:ln>
                  </pic:spPr>
                </pic:pic>
              </a:graphicData>
            </a:graphic>
          </wp:anchor>
        </w:drawing>
      </w:r>
    </w:p>
    <w:p w:rsidR="00BF3744" w:rsidRPr="007F0B60" w:rsidRDefault="00BF3744" w:rsidP="00BF3744">
      <w:pPr>
        <w:rPr>
          <w:rFonts w:ascii="Arial" w:hAnsi="Arial" w:cs="Arial"/>
          <w:sz w:val="20"/>
          <w:szCs w:val="20"/>
        </w:rPr>
      </w:pPr>
    </w:p>
    <w:p w:rsidR="00BF3744" w:rsidRPr="007F0B60" w:rsidRDefault="00BF3744" w:rsidP="00BF3744">
      <w:pPr>
        <w:rPr>
          <w:rFonts w:ascii="Arial" w:hAnsi="Arial" w:cs="Arial"/>
          <w:sz w:val="20"/>
          <w:szCs w:val="20"/>
        </w:rPr>
      </w:pPr>
    </w:p>
    <w:p w:rsidR="00BF3744" w:rsidRPr="007F0B60" w:rsidRDefault="00BF3744" w:rsidP="00BF3744">
      <w:pPr>
        <w:rPr>
          <w:rFonts w:ascii="Arial" w:hAnsi="Arial" w:cs="Arial"/>
          <w:sz w:val="20"/>
          <w:szCs w:val="20"/>
        </w:rPr>
      </w:pPr>
    </w:p>
    <w:p w:rsidR="00BF3744" w:rsidRPr="007F0B60" w:rsidRDefault="00BF3744" w:rsidP="00BF3744">
      <w:pPr>
        <w:rPr>
          <w:rFonts w:ascii="Arial" w:hAnsi="Arial" w:cs="Arial"/>
          <w:sz w:val="20"/>
          <w:szCs w:val="20"/>
        </w:rPr>
      </w:pPr>
    </w:p>
    <w:p w:rsidR="00BF3744" w:rsidRPr="007F0B60" w:rsidRDefault="00CA3792" w:rsidP="00BF3744">
      <w:pPr>
        <w:rPr>
          <w:rFonts w:ascii="Arial" w:hAnsi="Arial" w:cs="Arial"/>
          <w:sz w:val="20"/>
          <w:szCs w:val="20"/>
        </w:rPr>
      </w:pPr>
      <w:r>
        <w:rPr>
          <w:rFonts w:ascii="Arial" w:hAnsi="Arial" w:cs="Arial"/>
          <w:noProof/>
          <w:sz w:val="20"/>
          <w:szCs w:val="20"/>
          <w:lang w:eastAsia="en-IE"/>
        </w:rPr>
        <w:pict>
          <v:shapetype id="_x0000_t202" coordsize="21600,21600" o:spt="202" path="m,l,21600r21600,l21600,xe">
            <v:stroke joinstyle="miter"/>
            <v:path gradientshapeok="t" o:connecttype="rect"/>
          </v:shapetype>
          <v:shape id="_x0000_s1030" type="#_x0000_t202" style="position:absolute;left:0;text-align:left;margin-left:229.5pt;margin-top:17.85pt;width:123.7pt;height:18pt;z-index:251666432;mso-width-relative:margin;mso-height-relative:margin" stroked="f">
            <v:textbox style="mso-next-textbox:#_x0000_s1030">
              <w:txbxContent>
                <w:p w:rsidR="00E3637F" w:rsidRPr="00DC40B6" w:rsidRDefault="00E3637F" w:rsidP="00E3637F">
                  <w:pPr>
                    <w:jc w:val="center"/>
                    <w:rPr>
                      <w:sz w:val="18"/>
                      <w:szCs w:val="18"/>
                    </w:rPr>
                  </w:pPr>
                  <w:r>
                    <w:rPr>
                      <w:sz w:val="18"/>
                      <w:szCs w:val="18"/>
                    </w:rPr>
                    <w:t>Online Student - Anywhere</w:t>
                  </w:r>
                </w:p>
              </w:txbxContent>
            </v:textbox>
          </v:shape>
        </w:pict>
      </w:r>
      <w:r>
        <w:rPr>
          <w:rFonts w:ascii="Arial" w:hAnsi="Arial" w:cs="Arial"/>
          <w:noProof/>
          <w:sz w:val="20"/>
          <w:szCs w:val="20"/>
          <w:lang w:eastAsia="en-IE"/>
        </w:rPr>
        <w:pict>
          <v:shape id="_x0000_s1029" type="#_x0000_t202" style="position:absolute;left:0;text-align:left;margin-left:70.5pt;margin-top:-.15pt;width:95.2pt;height:18pt;z-index:251665408;mso-width-relative:margin;mso-height-relative:margin" stroked="f">
            <v:textbox>
              <w:txbxContent>
                <w:p w:rsidR="00E3637F" w:rsidRPr="00DC40B6" w:rsidRDefault="00E3637F" w:rsidP="00E3637F">
                  <w:pPr>
                    <w:jc w:val="center"/>
                    <w:rPr>
                      <w:sz w:val="18"/>
                      <w:szCs w:val="18"/>
                    </w:rPr>
                  </w:pPr>
                  <w:r>
                    <w:rPr>
                      <w:sz w:val="18"/>
                      <w:szCs w:val="18"/>
                    </w:rPr>
                    <w:t xml:space="preserve">Remote Access </w:t>
                  </w:r>
                </w:p>
              </w:txbxContent>
            </v:textbox>
          </v:shape>
        </w:pict>
      </w:r>
    </w:p>
    <w:p w:rsidR="00B041BD" w:rsidRPr="007F0B60" w:rsidRDefault="00B041BD" w:rsidP="00B50680">
      <w:pPr>
        <w:pStyle w:val="Heading3"/>
        <w:rPr>
          <w:rFonts w:ascii="Arial" w:eastAsia="Times New Roman" w:hAnsi="Arial" w:cs="Arial"/>
          <w:bCs w:val="0"/>
          <w:color w:val="000000"/>
          <w:sz w:val="20"/>
          <w:szCs w:val="20"/>
          <w:lang w:eastAsia="en-IE"/>
        </w:rPr>
      </w:pPr>
    </w:p>
    <w:p w:rsidR="008F10EB" w:rsidRDefault="008F10EB" w:rsidP="00B50680">
      <w:pPr>
        <w:pStyle w:val="Heading3"/>
        <w:rPr>
          <w:rFonts w:ascii="Arial" w:eastAsia="Times New Roman" w:hAnsi="Arial" w:cs="Arial"/>
          <w:bCs w:val="0"/>
          <w:color w:val="000000"/>
          <w:sz w:val="20"/>
          <w:szCs w:val="20"/>
          <w:lang w:eastAsia="en-IE"/>
        </w:rPr>
      </w:pPr>
    </w:p>
    <w:p w:rsidR="00BF3744" w:rsidRPr="00D328EB" w:rsidRDefault="00D328EB" w:rsidP="00B50680">
      <w:pPr>
        <w:pStyle w:val="Heading3"/>
        <w:rPr>
          <w:rFonts w:ascii="Arial" w:eastAsia="Times New Roman" w:hAnsi="Arial" w:cs="Arial"/>
          <w:bCs w:val="0"/>
          <w:color w:val="000000"/>
          <w:szCs w:val="24"/>
          <w:lang w:eastAsia="en-IE"/>
        </w:rPr>
      </w:pPr>
      <w:r w:rsidRPr="00D328EB">
        <w:rPr>
          <w:rFonts w:ascii="Arial" w:eastAsia="Times New Roman" w:hAnsi="Arial" w:cs="Arial"/>
          <w:bCs w:val="0"/>
          <w:color w:val="000000"/>
          <w:szCs w:val="24"/>
          <w:lang w:eastAsia="en-IE"/>
        </w:rPr>
        <w:t xml:space="preserve">8.2 </w:t>
      </w:r>
      <w:r w:rsidR="00B50680" w:rsidRPr="00D328EB">
        <w:rPr>
          <w:rFonts w:ascii="Arial" w:eastAsia="Times New Roman" w:hAnsi="Arial" w:cs="Arial"/>
          <w:bCs w:val="0"/>
          <w:color w:val="000000"/>
          <w:szCs w:val="24"/>
          <w:lang w:eastAsia="en-IE"/>
        </w:rPr>
        <w:t xml:space="preserve">Live </w:t>
      </w:r>
      <w:r>
        <w:rPr>
          <w:rFonts w:ascii="Arial" w:eastAsia="Times New Roman" w:hAnsi="Arial" w:cs="Arial"/>
          <w:bCs w:val="0"/>
          <w:color w:val="000000"/>
          <w:szCs w:val="24"/>
          <w:lang w:eastAsia="en-IE"/>
        </w:rPr>
        <w:t xml:space="preserve">Practical </w:t>
      </w:r>
      <w:r w:rsidR="00B50680" w:rsidRPr="00D328EB">
        <w:rPr>
          <w:rFonts w:ascii="Arial" w:eastAsia="Times New Roman" w:hAnsi="Arial" w:cs="Arial"/>
          <w:bCs w:val="0"/>
          <w:color w:val="000000"/>
          <w:szCs w:val="24"/>
          <w:lang w:eastAsia="en-IE"/>
        </w:rPr>
        <w:t>Class</w:t>
      </w:r>
      <w:r>
        <w:rPr>
          <w:rFonts w:ascii="Arial" w:eastAsia="Times New Roman" w:hAnsi="Arial" w:cs="Arial"/>
          <w:bCs w:val="0"/>
          <w:color w:val="000000"/>
          <w:szCs w:val="24"/>
          <w:lang w:eastAsia="en-IE"/>
        </w:rPr>
        <w:t>es</w:t>
      </w:r>
    </w:p>
    <w:p w:rsidR="008F10EB" w:rsidRDefault="00B50680" w:rsidP="00D328EB">
      <w:pPr>
        <w:rPr>
          <w:rFonts w:ascii="Arial" w:hAnsi="Arial" w:cs="Arial"/>
          <w:sz w:val="20"/>
          <w:szCs w:val="20"/>
        </w:rPr>
      </w:pPr>
      <w:r w:rsidRPr="007F0B60">
        <w:rPr>
          <w:rFonts w:ascii="Arial" w:hAnsi="Arial" w:cs="Arial"/>
          <w:sz w:val="20"/>
          <w:szCs w:val="20"/>
        </w:rPr>
        <w:t>During a live online practical class</w:t>
      </w:r>
      <w:r w:rsidR="002F61F5">
        <w:rPr>
          <w:rFonts w:ascii="Arial" w:hAnsi="Arial" w:cs="Arial"/>
          <w:sz w:val="20"/>
          <w:szCs w:val="20"/>
        </w:rPr>
        <w:t>,</w:t>
      </w:r>
      <w:r w:rsidR="0033504A" w:rsidRPr="007F0B60">
        <w:rPr>
          <w:rFonts w:ascii="Arial" w:hAnsi="Arial" w:cs="Arial"/>
          <w:sz w:val="20"/>
          <w:szCs w:val="20"/>
        </w:rPr>
        <w:t xml:space="preserve"> students </w:t>
      </w:r>
      <w:r w:rsidR="00746DA8" w:rsidRPr="007F0B60">
        <w:rPr>
          <w:rFonts w:ascii="Arial" w:hAnsi="Arial" w:cs="Arial"/>
          <w:sz w:val="20"/>
          <w:szCs w:val="20"/>
        </w:rPr>
        <w:t xml:space="preserve">remotely logon to </w:t>
      </w:r>
      <w:r w:rsidR="0033504A" w:rsidRPr="007F0B60">
        <w:rPr>
          <w:rFonts w:ascii="Arial" w:hAnsi="Arial" w:cs="Arial"/>
          <w:sz w:val="20"/>
          <w:szCs w:val="20"/>
        </w:rPr>
        <w:t>PC</w:t>
      </w:r>
      <w:r w:rsidR="00746DA8" w:rsidRPr="007F0B60">
        <w:rPr>
          <w:rFonts w:ascii="Arial" w:hAnsi="Arial" w:cs="Arial"/>
          <w:sz w:val="20"/>
          <w:szCs w:val="20"/>
        </w:rPr>
        <w:t>s in the IT Sligo computer lab, while participating in an online meeting using a PC based conferencing system.</w:t>
      </w:r>
      <w:r w:rsidR="008F10EB" w:rsidRPr="007F0B60">
        <w:rPr>
          <w:rFonts w:ascii="Arial" w:hAnsi="Arial" w:cs="Arial"/>
          <w:sz w:val="20"/>
          <w:szCs w:val="20"/>
        </w:rPr>
        <w:t xml:space="preserve"> This enables the instructor to monitor student progress, offer guidance through 2-way audio (VoIP) and take control of the “students” PC to demonstrate solutions when required</w:t>
      </w:r>
      <w:r w:rsidR="008F10EB">
        <w:rPr>
          <w:rFonts w:ascii="Arial" w:hAnsi="Arial" w:cs="Arial"/>
          <w:sz w:val="20"/>
          <w:szCs w:val="20"/>
        </w:rPr>
        <w:t xml:space="preserve"> (See figure 4)</w:t>
      </w:r>
      <w:r w:rsidR="008F10EB" w:rsidRPr="007F0B60">
        <w:rPr>
          <w:rFonts w:ascii="Arial" w:hAnsi="Arial" w:cs="Arial"/>
          <w:sz w:val="20"/>
          <w:szCs w:val="20"/>
        </w:rPr>
        <w:t>.</w:t>
      </w:r>
      <w:r w:rsidR="008F10EB">
        <w:rPr>
          <w:rFonts w:ascii="Arial" w:hAnsi="Arial" w:cs="Arial"/>
          <w:sz w:val="20"/>
          <w:szCs w:val="20"/>
        </w:rPr>
        <w:t xml:space="preserve"> </w:t>
      </w:r>
    </w:p>
    <w:p w:rsidR="00D328EB" w:rsidRDefault="00D328EB" w:rsidP="00D328EB">
      <w:pPr>
        <w:rPr>
          <w:rFonts w:ascii="Arial" w:hAnsi="Arial" w:cs="Arial"/>
          <w:sz w:val="20"/>
          <w:szCs w:val="20"/>
        </w:rPr>
      </w:pPr>
    </w:p>
    <w:p w:rsidR="008F10EB" w:rsidRPr="007F0B60" w:rsidRDefault="008F10EB" w:rsidP="008F10EB">
      <w:pPr>
        <w:jc w:val="center"/>
        <w:rPr>
          <w:rFonts w:ascii="Arial" w:hAnsi="Arial" w:cs="Arial"/>
          <w:sz w:val="20"/>
          <w:szCs w:val="20"/>
        </w:rPr>
      </w:pPr>
      <w:r w:rsidRPr="00D328EB">
        <w:rPr>
          <w:rFonts w:ascii="Arial" w:hAnsi="Arial" w:cs="Arial"/>
          <w:b/>
          <w:sz w:val="20"/>
          <w:szCs w:val="20"/>
        </w:rPr>
        <w:t>Fig 4: Lecturer supervising remote classes</w:t>
      </w:r>
      <w:r>
        <w:rPr>
          <w:rFonts w:ascii="Arial" w:hAnsi="Arial" w:cs="Arial"/>
          <w:sz w:val="20"/>
          <w:szCs w:val="20"/>
        </w:rPr>
        <w:t>.</w:t>
      </w:r>
    </w:p>
    <w:p w:rsidR="00746DA8" w:rsidRPr="007F0B60" w:rsidRDefault="00746DA8" w:rsidP="00BF3744">
      <w:pPr>
        <w:rPr>
          <w:rFonts w:ascii="Arial" w:hAnsi="Arial" w:cs="Arial"/>
          <w:sz w:val="20"/>
          <w:szCs w:val="20"/>
        </w:rPr>
      </w:pPr>
    </w:p>
    <w:p w:rsidR="00BC08F9" w:rsidRPr="007F0B60" w:rsidRDefault="00CA3792" w:rsidP="00BF3744">
      <w:pPr>
        <w:rPr>
          <w:rFonts w:ascii="Arial" w:hAnsi="Arial" w:cs="Arial"/>
          <w:sz w:val="20"/>
          <w:szCs w:val="20"/>
        </w:rPr>
      </w:pPr>
      <w:r>
        <w:rPr>
          <w:rFonts w:ascii="Arial" w:hAnsi="Arial" w:cs="Arial"/>
          <w:noProof/>
          <w:sz w:val="20"/>
          <w:szCs w:val="20"/>
          <w:lang w:eastAsia="en-IE"/>
        </w:rPr>
        <w:pict>
          <v:group id="_x0000_s1032" style="position:absolute;left:0;text-align:left;margin-left:251.2pt;margin-top:10.5pt;width:239.25pt;height:66.25pt;z-index:251668480" coordorigin="6330,5590" coordsize="4785,1325">
            <v:shape id="_x0000_s1033" type="#_x0000_t202" style="position:absolute;left:8221;top:5590;width:2894;height:645;mso-width-relative:margin;mso-height-relative:margin" stroked="f">
              <v:textbox style="mso-next-textbox:#_x0000_s1033">
                <w:txbxContent>
                  <w:p w:rsidR="00BC08F9" w:rsidRPr="000E2A85" w:rsidRDefault="00BC08F9" w:rsidP="00BC08F9">
                    <w:pPr>
                      <w:spacing w:after="40" w:line="240" w:lineRule="auto"/>
                      <w:rPr>
                        <w:sz w:val="20"/>
                        <w:szCs w:val="20"/>
                      </w:rPr>
                    </w:pPr>
                    <w:r>
                      <w:rPr>
                        <w:sz w:val="20"/>
                        <w:szCs w:val="20"/>
                      </w:rPr>
                      <w:t>Students remotely control PCs in IT Sligo Computer Lab</w:t>
                    </w:r>
                  </w:p>
                  <w:p w:rsidR="00BC08F9" w:rsidRDefault="00BC08F9" w:rsidP="00BC08F9"/>
                </w:txbxContent>
              </v:textbox>
            </v:shape>
            <v:shapetype id="_x0000_t32" coordsize="21600,21600" o:spt="32" o:oned="t" path="m,l21600,21600e" filled="f">
              <v:path arrowok="t" fillok="f" o:connecttype="none"/>
              <o:lock v:ext="edit" shapetype="t"/>
            </v:shapetype>
            <v:shape id="_x0000_s1034" type="#_x0000_t32" style="position:absolute;left:6495;top:5880;width:1726;height:540;flip:x" o:connectortype="straight" strokecolor="#c00000">
              <v:stroke endarrow="block"/>
            </v:shape>
            <v:shape id="_x0000_s1035" type="#_x0000_t32" style="position:absolute;left:7380;top:5880;width:841;height:1035;flip:x" o:connectortype="straight" strokecolor="#c00000">
              <v:stroke endarrow="block"/>
            </v:shape>
            <v:shape id="_x0000_s1036" type="#_x0000_t32" style="position:absolute;left:6330;top:5880;width:1891;height:1035;flip:x" o:connectortype="straight" strokecolor="#c00000">
              <v:stroke endarrow="block"/>
            </v:shape>
          </v:group>
        </w:pict>
      </w:r>
      <w:r w:rsidR="0056156E" w:rsidRPr="007F0B60">
        <w:rPr>
          <w:rFonts w:ascii="Arial" w:hAnsi="Arial" w:cs="Arial"/>
          <w:noProof/>
          <w:sz w:val="20"/>
          <w:szCs w:val="20"/>
          <w:lang w:eastAsia="en-IE"/>
        </w:rPr>
        <w:drawing>
          <wp:anchor distT="0" distB="0" distL="114300" distR="114300" simplePos="0" relativeHeight="251667456" behindDoc="1" locked="0" layoutInCell="1" allowOverlap="1">
            <wp:simplePos x="0" y="0"/>
            <wp:positionH relativeFrom="margin">
              <wp:align>center</wp:align>
            </wp:positionH>
            <wp:positionV relativeFrom="paragraph">
              <wp:posOffset>114300</wp:posOffset>
            </wp:positionV>
            <wp:extent cx="2301240" cy="1379220"/>
            <wp:effectExtent l="19050" t="19050" r="22860" b="11430"/>
            <wp:wrapTight wrapText="bothSides">
              <wp:wrapPolygon edited="0">
                <wp:start x="-179" y="-298"/>
                <wp:lineTo x="-179" y="21779"/>
                <wp:lineTo x="21815" y="21779"/>
                <wp:lineTo x="21815" y="-298"/>
                <wp:lineTo x="-179" y="-298"/>
              </wp:wrapPolygon>
            </wp:wrapTight>
            <wp:docPr id="4" name="Picture 3" descr="Live CAD C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 CAD Class.JPG"/>
                    <pic:cNvPicPr/>
                  </pic:nvPicPr>
                  <pic:blipFill>
                    <a:blip r:embed="rId12" cstate="print"/>
                    <a:stretch>
                      <a:fillRect/>
                    </a:stretch>
                  </pic:blipFill>
                  <pic:spPr>
                    <a:xfrm>
                      <a:off x="0" y="0"/>
                      <a:ext cx="2301240" cy="1379220"/>
                    </a:xfrm>
                    <a:prstGeom prst="rect">
                      <a:avLst/>
                    </a:prstGeom>
                    <a:ln>
                      <a:solidFill>
                        <a:schemeClr val="tx2"/>
                      </a:solidFill>
                    </a:ln>
                  </pic:spPr>
                </pic:pic>
              </a:graphicData>
            </a:graphic>
          </wp:anchor>
        </w:drawing>
      </w:r>
    </w:p>
    <w:p w:rsidR="00BC08F9" w:rsidRPr="007F0B60" w:rsidRDefault="00CA3792" w:rsidP="00BF3744">
      <w:pPr>
        <w:rPr>
          <w:rFonts w:ascii="Arial" w:hAnsi="Arial" w:cs="Arial"/>
          <w:sz w:val="20"/>
          <w:szCs w:val="20"/>
        </w:rPr>
      </w:pPr>
      <w:r>
        <w:rPr>
          <w:rFonts w:ascii="Arial" w:hAnsi="Arial" w:cs="Arial"/>
          <w:noProof/>
          <w:sz w:val="20"/>
          <w:szCs w:val="20"/>
          <w:lang w:eastAsia="en-IE"/>
        </w:rPr>
        <w:pict>
          <v:group id="_x0000_s1040" style="position:absolute;left:0;text-align:left;margin-left:-16.4pt;margin-top:.55pt;width:212.95pt;height:80.25pt;z-index:251669504" coordorigin="1186,5775" coordsize="4259,1605">
            <v:shape id="_x0000_s1041" type="#_x0000_t202" style="position:absolute;left:1186;top:5775;width:2969;height:645;mso-width-relative:margin;mso-height-relative:margin" stroked="f">
              <v:textbox style="mso-next-textbox:#_x0000_s1041">
                <w:txbxContent>
                  <w:p w:rsidR="00BC08F9" w:rsidRDefault="00BC08F9" w:rsidP="00BC08F9">
                    <w:pPr>
                      <w:spacing w:after="40" w:line="240" w:lineRule="auto"/>
                    </w:pPr>
                    <w:r>
                      <w:rPr>
                        <w:sz w:val="20"/>
                        <w:szCs w:val="20"/>
                      </w:rPr>
                      <w:t xml:space="preserve">Lecturer can take control of “student” PC, offering assistance </w:t>
                    </w:r>
                  </w:p>
                </w:txbxContent>
              </v:textbox>
            </v:shape>
            <v:shape id="_x0000_s1042" type="#_x0000_t32" style="position:absolute;left:3960;top:6120;width:1485;height:1260" o:connectortype="straight" strokecolor="#c00000">
              <v:stroke endarrow="block"/>
            </v:shape>
          </v:group>
        </w:pict>
      </w:r>
    </w:p>
    <w:p w:rsidR="00BC08F9" w:rsidRPr="007F0B60" w:rsidRDefault="00BC08F9" w:rsidP="00BF3744">
      <w:pPr>
        <w:rPr>
          <w:rFonts w:ascii="Arial" w:hAnsi="Arial" w:cs="Arial"/>
          <w:sz w:val="20"/>
          <w:szCs w:val="20"/>
        </w:rPr>
      </w:pPr>
    </w:p>
    <w:p w:rsidR="00BC08F9" w:rsidRPr="007F0B60" w:rsidRDefault="00BC08F9" w:rsidP="00BF3744">
      <w:pPr>
        <w:rPr>
          <w:rFonts w:ascii="Arial" w:hAnsi="Arial" w:cs="Arial"/>
          <w:sz w:val="20"/>
          <w:szCs w:val="20"/>
        </w:rPr>
      </w:pPr>
    </w:p>
    <w:p w:rsidR="00BC08F9" w:rsidRPr="007F0B60" w:rsidRDefault="00BC08F9" w:rsidP="00BF3744">
      <w:pPr>
        <w:rPr>
          <w:rFonts w:ascii="Arial" w:hAnsi="Arial" w:cs="Arial"/>
          <w:sz w:val="20"/>
          <w:szCs w:val="20"/>
        </w:rPr>
      </w:pPr>
    </w:p>
    <w:p w:rsidR="00BC08F9" w:rsidRPr="007F0B60" w:rsidRDefault="00BC08F9" w:rsidP="00BF3744">
      <w:pPr>
        <w:rPr>
          <w:rFonts w:ascii="Arial" w:hAnsi="Arial" w:cs="Arial"/>
          <w:sz w:val="20"/>
          <w:szCs w:val="20"/>
        </w:rPr>
      </w:pPr>
    </w:p>
    <w:p w:rsidR="00746DA8" w:rsidRPr="007F0B60" w:rsidRDefault="00746DA8" w:rsidP="00BF3744">
      <w:pPr>
        <w:rPr>
          <w:rFonts w:ascii="Arial" w:hAnsi="Arial" w:cs="Arial"/>
          <w:sz w:val="20"/>
          <w:szCs w:val="20"/>
        </w:rPr>
      </w:pPr>
    </w:p>
    <w:p w:rsidR="00D328EB" w:rsidRDefault="00D328EB" w:rsidP="00BF3744">
      <w:pPr>
        <w:rPr>
          <w:rFonts w:ascii="Arial" w:hAnsi="Arial" w:cs="Arial"/>
          <w:b/>
          <w:sz w:val="20"/>
          <w:szCs w:val="20"/>
        </w:rPr>
      </w:pPr>
    </w:p>
    <w:p w:rsidR="00D328EB" w:rsidRDefault="00D328EB" w:rsidP="00BF3744">
      <w:pPr>
        <w:rPr>
          <w:rFonts w:ascii="Arial" w:hAnsi="Arial" w:cs="Arial"/>
          <w:b/>
          <w:sz w:val="20"/>
          <w:szCs w:val="20"/>
        </w:rPr>
      </w:pPr>
    </w:p>
    <w:p w:rsidR="00BF3744" w:rsidRPr="00D328EB" w:rsidRDefault="00D328EB" w:rsidP="00BF3744">
      <w:pPr>
        <w:rPr>
          <w:rFonts w:ascii="Arial" w:hAnsi="Arial" w:cs="Arial"/>
          <w:b/>
          <w:szCs w:val="24"/>
        </w:rPr>
      </w:pPr>
      <w:r w:rsidRPr="00D328EB">
        <w:rPr>
          <w:rFonts w:ascii="Arial" w:hAnsi="Arial" w:cs="Arial"/>
          <w:b/>
          <w:szCs w:val="24"/>
        </w:rPr>
        <w:t xml:space="preserve">8.3 </w:t>
      </w:r>
      <w:r w:rsidR="00B041BD" w:rsidRPr="00D328EB">
        <w:rPr>
          <w:rFonts w:ascii="Arial" w:hAnsi="Arial" w:cs="Arial"/>
          <w:b/>
          <w:szCs w:val="24"/>
        </w:rPr>
        <w:t>Success to date</w:t>
      </w:r>
    </w:p>
    <w:p w:rsidR="00320BFA" w:rsidRPr="007F0B60" w:rsidRDefault="0043058C" w:rsidP="00BF3744">
      <w:pPr>
        <w:rPr>
          <w:rFonts w:ascii="Arial" w:hAnsi="Arial" w:cs="Arial"/>
          <w:sz w:val="20"/>
          <w:szCs w:val="20"/>
        </w:rPr>
      </w:pPr>
      <w:r w:rsidRPr="007F0B60">
        <w:rPr>
          <w:rFonts w:ascii="Arial" w:hAnsi="Arial" w:cs="Arial"/>
          <w:sz w:val="20"/>
          <w:szCs w:val="20"/>
        </w:rPr>
        <w:t>The first of these live practical classes was delivered by the Institute between January and May 2010.</w:t>
      </w:r>
      <w:r w:rsidR="00BC08F9" w:rsidRPr="007F0B60">
        <w:rPr>
          <w:rFonts w:ascii="Arial" w:hAnsi="Arial" w:cs="Arial"/>
          <w:sz w:val="20"/>
          <w:szCs w:val="20"/>
        </w:rPr>
        <w:t xml:space="preserve"> </w:t>
      </w:r>
      <w:r w:rsidR="002C74F4" w:rsidRPr="007F0B60">
        <w:rPr>
          <w:rFonts w:ascii="Arial" w:hAnsi="Arial" w:cs="Arial"/>
          <w:sz w:val="20"/>
          <w:szCs w:val="20"/>
        </w:rPr>
        <w:t xml:space="preserve">Throughout </w:t>
      </w:r>
      <w:r w:rsidR="0056156E" w:rsidRPr="007F0B60">
        <w:rPr>
          <w:rFonts w:ascii="Arial" w:hAnsi="Arial" w:cs="Arial"/>
          <w:sz w:val="20"/>
          <w:szCs w:val="20"/>
        </w:rPr>
        <w:t>this module in 3-D C</w:t>
      </w:r>
      <w:r w:rsidR="00224CE4" w:rsidRPr="007F0B60">
        <w:rPr>
          <w:rFonts w:ascii="Arial" w:hAnsi="Arial" w:cs="Arial"/>
          <w:sz w:val="20"/>
          <w:szCs w:val="20"/>
        </w:rPr>
        <w:t>omputer Aided Design (CAD) and Modelling</w:t>
      </w:r>
      <w:r w:rsidR="0056156E" w:rsidRPr="007F0B60">
        <w:rPr>
          <w:rFonts w:ascii="Arial" w:hAnsi="Arial" w:cs="Arial"/>
          <w:sz w:val="20"/>
          <w:szCs w:val="20"/>
        </w:rPr>
        <w:t xml:space="preserve">, students had </w:t>
      </w:r>
      <w:r w:rsidR="002C74F4" w:rsidRPr="007F0B60">
        <w:rPr>
          <w:rFonts w:ascii="Arial" w:hAnsi="Arial" w:cs="Arial"/>
          <w:sz w:val="20"/>
          <w:szCs w:val="20"/>
        </w:rPr>
        <w:t xml:space="preserve">remote access to the CAD software, removing the need for students to purchase and install the software on their own computers. In addition students had access to </w:t>
      </w:r>
      <w:r w:rsidR="0056156E" w:rsidRPr="007F0B60">
        <w:rPr>
          <w:rFonts w:ascii="Arial" w:hAnsi="Arial" w:cs="Arial"/>
          <w:sz w:val="20"/>
          <w:szCs w:val="20"/>
        </w:rPr>
        <w:t>recorded video demonstrations</w:t>
      </w:r>
      <w:r w:rsidR="002C74F4" w:rsidRPr="007F0B60">
        <w:rPr>
          <w:rFonts w:ascii="Arial" w:hAnsi="Arial" w:cs="Arial"/>
          <w:sz w:val="20"/>
          <w:szCs w:val="20"/>
        </w:rPr>
        <w:t xml:space="preserve"> through the VLE, </w:t>
      </w:r>
      <w:r w:rsidR="0056156E" w:rsidRPr="007F0B60">
        <w:rPr>
          <w:rFonts w:ascii="Arial" w:hAnsi="Arial" w:cs="Arial"/>
          <w:sz w:val="20"/>
          <w:szCs w:val="20"/>
        </w:rPr>
        <w:t>and attended a 2</w:t>
      </w:r>
      <w:r w:rsidR="00850AB6" w:rsidRPr="007F0B60">
        <w:rPr>
          <w:rFonts w:ascii="Arial" w:hAnsi="Arial" w:cs="Arial"/>
          <w:sz w:val="20"/>
          <w:szCs w:val="20"/>
        </w:rPr>
        <w:t>-</w:t>
      </w:r>
      <w:r w:rsidR="0056156E" w:rsidRPr="007F0B60">
        <w:rPr>
          <w:rFonts w:ascii="Arial" w:hAnsi="Arial" w:cs="Arial"/>
          <w:sz w:val="20"/>
          <w:szCs w:val="20"/>
        </w:rPr>
        <w:t>hour live</w:t>
      </w:r>
      <w:r w:rsidR="002C74F4" w:rsidRPr="007F0B60">
        <w:rPr>
          <w:rFonts w:ascii="Arial" w:hAnsi="Arial" w:cs="Arial"/>
          <w:sz w:val="20"/>
          <w:szCs w:val="20"/>
        </w:rPr>
        <w:t xml:space="preserve"> practical </w:t>
      </w:r>
      <w:r w:rsidR="0056156E" w:rsidRPr="007F0B60">
        <w:rPr>
          <w:rFonts w:ascii="Arial" w:hAnsi="Arial" w:cs="Arial"/>
          <w:sz w:val="20"/>
          <w:szCs w:val="20"/>
        </w:rPr>
        <w:t xml:space="preserve">class </w:t>
      </w:r>
      <w:r w:rsidR="00850AB6" w:rsidRPr="007F0B60">
        <w:rPr>
          <w:rFonts w:ascii="Arial" w:hAnsi="Arial" w:cs="Arial"/>
          <w:sz w:val="20"/>
          <w:szCs w:val="20"/>
        </w:rPr>
        <w:t xml:space="preserve">delivered </w:t>
      </w:r>
      <w:r w:rsidR="002C74F4" w:rsidRPr="007F0B60">
        <w:rPr>
          <w:rFonts w:ascii="Arial" w:hAnsi="Arial" w:cs="Arial"/>
          <w:sz w:val="20"/>
          <w:szCs w:val="20"/>
        </w:rPr>
        <w:t xml:space="preserve">each week. The main purpose of the live class was to focus on providing guidance and solutions to problems encountered by students during the previous week. Towards the end of the module </w:t>
      </w:r>
      <w:r w:rsidR="0029322E" w:rsidRPr="007F0B60">
        <w:rPr>
          <w:rFonts w:ascii="Arial" w:hAnsi="Arial" w:cs="Arial"/>
          <w:sz w:val="20"/>
          <w:szCs w:val="20"/>
        </w:rPr>
        <w:t>s</w:t>
      </w:r>
      <w:r w:rsidR="002C74F4" w:rsidRPr="007F0B60">
        <w:rPr>
          <w:rFonts w:ascii="Arial" w:hAnsi="Arial" w:cs="Arial"/>
          <w:sz w:val="20"/>
          <w:szCs w:val="20"/>
        </w:rPr>
        <w:t>tud</w:t>
      </w:r>
      <w:r w:rsidR="00224CE4" w:rsidRPr="007F0B60">
        <w:rPr>
          <w:rFonts w:ascii="Arial" w:hAnsi="Arial" w:cs="Arial"/>
          <w:sz w:val="20"/>
          <w:szCs w:val="20"/>
        </w:rPr>
        <w:t xml:space="preserve">ents completed a questionnaire, and the final grades of the online students were compared to final grades of face-to-face students that took a similar CAD module in two previous years. Statistical analysis of the results indicated no significant difference between the results of all three modules and </w:t>
      </w:r>
      <w:r w:rsidR="001C7182" w:rsidRPr="007F0B60">
        <w:rPr>
          <w:rFonts w:ascii="Arial" w:hAnsi="Arial" w:cs="Arial"/>
          <w:sz w:val="20"/>
          <w:szCs w:val="20"/>
        </w:rPr>
        <w:t>80% of students indicated they would recommen</w:t>
      </w:r>
      <w:r w:rsidR="00850AB6" w:rsidRPr="007F0B60">
        <w:rPr>
          <w:rFonts w:ascii="Arial" w:hAnsi="Arial" w:cs="Arial"/>
          <w:sz w:val="20"/>
          <w:szCs w:val="20"/>
        </w:rPr>
        <w:t>d CAD training delivered online.</w:t>
      </w:r>
    </w:p>
    <w:p w:rsidR="000B5F78" w:rsidRPr="007F0B60" w:rsidRDefault="000B5F78" w:rsidP="00BF3744">
      <w:pPr>
        <w:rPr>
          <w:rFonts w:ascii="Arial" w:hAnsi="Arial" w:cs="Arial"/>
          <w:sz w:val="20"/>
          <w:szCs w:val="20"/>
        </w:rPr>
      </w:pPr>
    </w:p>
    <w:p w:rsidR="000B5F78" w:rsidRDefault="002F61F5" w:rsidP="00BF3744">
      <w:pPr>
        <w:rPr>
          <w:rFonts w:ascii="Arial" w:hAnsi="Arial" w:cs="Arial"/>
          <w:sz w:val="20"/>
          <w:szCs w:val="20"/>
        </w:rPr>
      </w:pPr>
      <w:r>
        <w:rPr>
          <w:rFonts w:ascii="Arial" w:hAnsi="Arial" w:cs="Arial"/>
          <w:sz w:val="20"/>
          <w:szCs w:val="20"/>
        </w:rPr>
        <w:t>For the moment, this has not decreased the requirements for attendance, but it does seemed to have improved student satisfaction and it is expected that when further work is completed on</w:t>
      </w:r>
      <w:r w:rsidR="000B5F78" w:rsidRPr="007F0B60">
        <w:rPr>
          <w:rFonts w:ascii="Arial" w:hAnsi="Arial" w:cs="Arial"/>
          <w:sz w:val="20"/>
          <w:szCs w:val="20"/>
        </w:rPr>
        <w:t xml:space="preserve"> increasing the range of rigs that are available on a remote basis and the range of software that </w:t>
      </w:r>
      <w:r w:rsidR="000B5F78" w:rsidRPr="007F0B60">
        <w:rPr>
          <w:rFonts w:ascii="Arial" w:hAnsi="Arial" w:cs="Arial"/>
          <w:sz w:val="20"/>
          <w:szCs w:val="20"/>
        </w:rPr>
        <w:lastRenderedPageBreak/>
        <w:t>can be taught in live online laboratories</w:t>
      </w:r>
      <w:r>
        <w:rPr>
          <w:rFonts w:ascii="Arial" w:hAnsi="Arial" w:cs="Arial"/>
          <w:sz w:val="20"/>
          <w:szCs w:val="20"/>
        </w:rPr>
        <w:t>, it should be possible to redesign attendance schedules to reduce the need for travel</w:t>
      </w:r>
      <w:r w:rsidR="000B5F78" w:rsidRPr="007F0B60">
        <w:rPr>
          <w:rFonts w:ascii="Arial" w:hAnsi="Arial" w:cs="Arial"/>
          <w:sz w:val="20"/>
          <w:szCs w:val="20"/>
        </w:rPr>
        <w:t>.</w:t>
      </w:r>
    </w:p>
    <w:p w:rsidR="007737DD" w:rsidRPr="007F0B60" w:rsidRDefault="007737DD" w:rsidP="00BF3744">
      <w:pPr>
        <w:rPr>
          <w:rFonts w:ascii="Arial" w:hAnsi="Arial" w:cs="Arial"/>
          <w:sz w:val="20"/>
          <w:szCs w:val="20"/>
        </w:rPr>
      </w:pPr>
    </w:p>
    <w:p w:rsidR="00320BFA" w:rsidRPr="007737DD" w:rsidRDefault="00726F99" w:rsidP="007737DD">
      <w:pPr>
        <w:pStyle w:val="ListParagraph"/>
        <w:numPr>
          <w:ilvl w:val="0"/>
          <w:numId w:val="10"/>
        </w:numPr>
        <w:ind w:left="0" w:firstLine="0"/>
        <w:rPr>
          <w:rFonts w:ascii="Arial" w:hAnsi="Arial" w:cs="Arial"/>
          <w:b/>
          <w:szCs w:val="24"/>
          <w:lang w:eastAsia="en-IE"/>
        </w:rPr>
      </w:pPr>
      <w:r w:rsidRPr="007737DD">
        <w:rPr>
          <w:rFonts w:ascii="Arial" w:hAnsi="Arial" w:cs="Arial"/>
          <w:b/>
          <w:szCs w:val="24"/>
          <w:lang w:eastAsia="en-IE"/>
        </w:rPr>
        <w:t>Conclusion</w:t>
      </w:r>
    </w:p>
    <w:p w:rsidR="00320BFA" w:rsidRDefault="00B872AF" w:rsidP="00BF3744">
      <w:pPr>
        <w:rPr>
          <w:rFonts w:ascii="Arial" w:hAnsi="Arial" w:cs="Arial"/>
          <w:sz w:val="20"/>
          <w:szCs w:val="20"/>
        </w:rPr>
      </w:pPr>
      <w:r w:rsidRPr="007F0B60">
        <w:rPr>
          <w:rFonts w:ascii="Arial" w:hAnsi="Arial" w:cs="Arial"/>
          <w:sz w:val="20"/>
          <w:szCs w:val="20"/>
        </w:rPr>
        <w:t>It could be argued that in the delivery of higher education online, engineering may well be the most difficult place to start, and that many of the online pedagogical approaches, such as asynchronous discussion and self-paced multimedia, developed in the 1990’s because of the limitations of the Internet at that time</w:t>
      </w:r>
      <w:r w:rsidR="00165340">
        <w:rPr>
          <w:rFonts w:ascii="Arial" w:hAnsi="Arial" w:cs="Arial"/>
          <w:sz w:val="20"/>
          <w:szCs w:val="20"/>
        </w:rPr>
        <w:t>,</w:t>
      </w:r>
      <w:r w:rsidRPr="007F0B60">
        <w:rPr>
          <w:rFonts w:ascii="Arial" w:hAnsi="Arial" w:cs="Arial"/>
          <w:sz w:val="20"/>
          <w:szCs w:val="20"/>
        </w:rPr>
        <w:t xml:space="preserve"> have limited applicability or serious cost implications in engineering</w:t>
      </w:r>
      <w:r w:rsidR="000B5F78" w:rsidRPr="007F0B60">
        <w:rPr>
          <w:rFonts w:ascii="Arial" w:hAnsi="Arial" w:cs="Arial"/>
          <w:sz w:val="20"/>
          <w:szCs w:val="20"/>
        </w:rPr>
        <w:t xml:space="preserve"> education.  However, IT Sligo’s success in developing financially viable online courses, with high student satisfaction and learning outcomes, may indicate that faster progress can be made using more traditional teaching techniques using </w:t>
      </w:r>
      <w:r w:rsidR="00165340">
        <w:rPr>
          <w:rFonts w:ascii="Arial" w:hAnsi="Arial" w:cs="Arial"/>
          <w:sz w:val="20"/>
          <w:szCs w:val="20"/>
        </w:rPr>
        <w:t>communications</w:t>
      </w:r>
      <w:r w:rsidR="000B5F78" w:rsidRPr="007F0B60">
        <w:rPr>
          <w:rFonts w:ascii="Arial" w:hAnsi="Arial" w:cs="Arial"/>
          <w:sz w:val="20"/>
          <w:szCs w:val="20"/>
        </w:rPr>
        <w:t xml:space="preserve"> technologies that allow us to replicate traditional teaching approaches for distributed groups of learners.</w:t>
      </w:r>
    </w:p>
    <w:p w:rsidR="00FF0B72" w:rsidRDefault="00FF0B72" w:rsidP="00BF3744">
      <w:pPr>
        <w:rPr>
          <w:rFonts w:ascii="Arial" w:hAnsi="Arial" w:cs="Arial"/>
          <w:sz w:val="20"/>
          <w:szCs w:val="20"/>
        </w:rPr>
      </w:pPr>
    </w:p>
    <w:p w:rsidR="00FF0B72" w:rsidRPr="00171AF0" w:rsidRDefault="00FF0B72" w:rsidP="00FF0B72">
      <w:pPr>
        <w:pStyle w:val="Section"/>
        <w:rPr>
          <w:rFonts w:cs="Arial"/>
          <w:sz w:val="24"/>
          <w:szCs w:val="24"/>
        </w:rPr>
      </w:pPr>
      <w:r w:rsidRPr="00171AF0">
        <w:rPr>
          <w:rFonts w:cs="Arial"/>
          <w:sz w:val="24"/>
          <w:szCs w:val="24"/>
        </w:rPr>
        <w:t>References</w:t>
      </w:r>
    </w:p>
    <w:p w:rsidR="00FF0B72" w:rsidRDefault="00FF0B72" w:rsidP="00FF0B72">
      <w:pPr>
        <w:ind w:left="426" w:hanging="426"/>
        <w:rPr>
          <w:rFonts w:ascii="Arial" w:hAnsi="Arial" w:cs="Arial"/>
          <w:sz w:val="20"/>
          <w:szCs w:val="20"/>
        </w:rPr>
      </w:pPr>
    </w:p>
    <w:p w:rsidR="00FF0B72" w:rsidRDefault="00FF0B72" w:rsidP="00FF0B72">
      <w:pPr>
        <w:ind w:left="426" w:hanging="426"/>
        <w:rPr>
          <w:rFonts w:ascii="Arial" w:hAnsi="Arial" w:cs="Arial"/>
          <w:sz w:val="20"/>
          <w:szCs w:val="20"/>
          <w:lang w:eastAsia="ko-KR"/>
        </w:rPr>
      </w:pPr>
      <w:r w:rsidRPr="007C0C18">
        <w:rPr>
          <w:rFonts w:ascii="Arial" w:hAnsi="Arial" w:cs="Arial"/>
          <w:sz w:val="20"/>
          <w:szCs w:val="20"/>
        </w:rPr>
        <w:t>1</w:t>
      </w:r>
      <w:r>
        <w:rPr>
          <w:rFonts w:ascii="Arial" w:hAnsi="Arial" w:cs="Arial" w:hint="eastAsia"/>
          <w:sz w:val="20"/>
          <w:szCs w:val="20"/>
          <w:lang w:eastAsia="ko-KR"/>
        </w:rPr>
        <w:t xml:space="preserve">.  </w:t>
      </w:r>
      <w:r w:rsidRPr="00FF0B72">
        <w:rPr>
          <w:rFonts w:ascii="Arial" w:hAnsi="Arial" w:cs="Arial"/>
          <w:sz w:val="20"/>
          <w:szCs w:val="20"/>
          <w:lang w:eastAsia="ko-KR"/>
        </w:rPr>
        <w:t xml:space="preserve">R. Mason, </w:t>
      </w:r>
      <w:r>
        <w:rPr>
          <w:rFonts w:ascii="Arial" w:hAnsi="Arial" w:cs="Arial"/>
          <w:sz w:val="20"/>
          <w:szCs w:val="20"/>
          <w:lang w:eastAsia="ko-KR"/>
        </w:rPr>
        <w:t xml:space="preserve">(1998) </w:t>
      </w:r>
      <w:r w:rsidRPr="00FF0B72">
        <w:rPr>
          <w:rFonts w:ascii="Arial" w:hAnsi="Arial" w:cs="Arial"/>
          <w:sz w:val="20"/>
          <w:szCs w:val="20"/>
          <w:lang w:eastAsia="ko-KR"/>
        </w:rPr>
        <w:t xml:space="preserve">Models of online courses. </w:t>
      </w:r>
      <w:r w:rsidRPr="00FF0B72">
        <w:rPr>
          <w:rFonts w:ascii="Arial" w:hAnsi="Arial" w:cs="Arial"/>
          <w:i/>
          <w:sz w:val="20"/>
          <w:szCs w:val="20"/>
          <w:lang w:eastAsia="ko-KR"/>
        </w:rPr>
        <w:t>Asynchronous Learning Networks Magazine</w:t>
      </w:r>
      <w:r>
        <w:rPr>
          <w:rFonts w:ascii="Arial" w:hAnsi="Arial" w:cs="Arial"/>
          <w:sz w:val="20"/>
          <w:szCs w:val="20"/>
          <w:lang w:eastAsia="ko-KR"/>
        </w:rPr>
        <w:t xml:space="preserve">, </w:t>
      </w:r>
      <w:r w:rsidRPr="00FF0B72">
        <w:rPr>
          <w:rFonts w:ascii="Arial" w:hAnsi="Arial" w:cs="Arial"/>
          <w:sz w:val="20"/>
          <w:szCs w:val="20"/>
          <w:lang w:eastAsia="ko-KR"/>
        </w:rPr>
        <w:t>(</w:t>
      </w:r>
      <w:hyperlink r:id="rId13" w:history="1">
        <w:r w:rsidRPr="00D42F8B">
          <w:rPr>
            <w:rStyle w:val="Hyperlink"/>
            <w:rFonts w:ascii="Arial" w:hAnsi="Arial" w:cs="Arial"/>
            <w:sz w:val="20"/>
            <w:szCs w:val="20"/>
            <w:lang w:eastAsia="ko-KR"/>
          </w:rPr>
          <w:t>http://www.sloanconsortium.org/publications/magazine/v2n2/mason.asp</w:t>
        </w:r>
      </w:hyperlink>
      <w:r w:rsidRPr="00FF0B72">
        <w:rPr>
          <w:rFonts w:ascii="Arial" w:hAnsi="Arial" w:cs="Arial"/>
          <w:sz w:val="20"/>
          <w:szCs w:val="20"/>
          <w:lang w:eastAsia="ko-KR"/>
        </w:rPr>
        <w:t>)</w:t>
      </w:r>
    </w:p>
    <w:p w:rsidR="00AF1CFA" w:rsidRPr="005B3BDE" w:rsidRDefault="00AF1CFA" w:rsidP="00AF1CFA">
      <w:pPr>
        <w:pStyle w:val="References"/>
        <w:rPr>
          <w:rFonts w:ascii="Arial" w:hAnsi="Arial" w:cs="Arial"/>
          <w:sz w:val="20"/>
          <w:szCs w:val="20"/>
        </w:rPr>
      </w:pPr>
      <w:r>
        <w:rPr>
          <w:rFonts w:ascii="Arial" w:hAnsi="Arial" w:cs="Arial"/>
          <w:sz w:val="20"/>
          <w:szCs w:val="20"/>
        </w:rPr>
        <w:t>B. Mulligan</w:t>
      </w:r>
      <w:r w:rsidRPr="005B3BDE">
        <w:rPr>
          <w:rFonts w:ascii="Arial" w:hAnsi="Arial" w:cs="Arial"/>
          <w:sz w:val="20"/>
          <w:szCs w:val="20"/>
        </w:rPr>
        <w:t>, “</w:t>
      </w:r>
      <w:r>
        <w:rPr>
          <w:rFonts w:ascii="Arial" w:hAnsi="Arial" w:cs="Arial"/>
          <w:sz w:val="20"/>
          <w:szCs w:val="20"/>
        </w:rPr>
        <w:t>Back to the Future: The Power of Traditional Teaching with Modern Communication</w:t>
      </w:r>
      <w:r w:rsidRPr="005B3BDE">
        <w:rPr>
          <w:rFonts w:ascii="Arial" w:hAnsi="Arial" w:cs="Arial"/>
          <w:sz w:val="20"/>
          <w:szCs w:val="20"/>
        </w:rPr>
        <w:t xml:space="preserve">,” </w:t>
      </w:r>
      <w:r w:rsidRPr="005B3BDE">
        <w:rPr>
          <w:rFonts w:ascii="Arial" w:hAnsi="Arial" w:cs="Arial"/>
          <w:i/>
          <w:iCs/>
          <w:sz w:val="20"/>
          <w:szCs w:val="20"/>
        </w:rPr>
        <w:t xml:space="preserve">Proceedings of </w:t>
      </w:r>
      <w:r>
        <w:rPr>
          <w:rFonts w:ascii="Arial" w:hAnsi="Arial" w:cs="Arial"/>
          <w:i/>
          <w:iCs/>
          <w:sz w:val="20"/>
          <w:szCs w:val="20"/>
        </w:rPr>
        <w:t>m-ICTE 2009 Conference</w:t>
      </w:r>
      <w:r w:rsidRPr="005B3BDE">
        <w:rPr>
          <w:rFonts w:ascii="Arial" w:hAnsi="Arial" w:cs="Arial"/>
          <w:sz w:val="20"/>
          <w:szCs w:val="20"/>
        </w:rPr>
        <w:t xml:space="preserve">, </w:t>
      </w:r>
      <w:r w:rsidRPr="00AF1CFA">
        <w:rPr>
          <w:rFonts w:ascii="Arial" w:hAnsi="Arial" w:cs="Arial"/>
        </w:rPr>
        <w:t>22-24 April 2009, Lisbon, Portugal.</w:t>
      </w:r>
    </w:p>
    <w:p w:rsidR="00FF0B72" w:rsidRPr="005B3BDE" w:rsidRDefault="00880A23" w:rsidP="00FF0B72">
      <w:pPr>
        <w:pStyle w:val="References"/>
        <w:rPr>
          <w:rFonts w:ascii="Arial" w:hAnsi="Arial" w:cs="Arial"/>
          <w:sz w:val="20"/>
          <w:szCs w:val="20"/>
        </w:rPr>
      </w:pPr>
      <w:r>
        <w:rPr>
          <w:rFonts w:ascii="Arial" w:hAnsi="Arial" w:cs="Arial"/>
          <w:sz w:val="20"/>
          <w:szCs w:val="20"/>
        </w:rPr>
        <w:t>M. McAfee, S. Reid</w:t>
      </w:r>
      <w:r w:rsidR="00FF0B72" w:rsidRPr="005B3BDE">
        <w:rPr>
          <w:rFonts w:ascii="Arial" w:hAnsi="Arial" w:cs="Arial"/>
          <w:sz w:val="20"/>
          <w:szCs w:val="20"/>
        </w:rPr>
        <w:t>, “</w:t>
      </w:r>
      <w:r>
        <w:rPr>
          <w:rFonts w:ascii="Arial" w:hAnsi="Arial" w:cs="Arial"/>
          <w:sz w:val="20"/>
          <w:szCs w:val="20"/>
        </w:rPr>
        <w:t>Challenges in Providing Practical Labs Online to Distance Learning Students</w:t>
      </w:r>
      <w:r w:rsidR="00FF0B72" w:rsidRPr="005B3BDE">
        <w:rPr>
          <w:rFonts w:ascii="Arial" w:hAnsi="Arial" w:cs="Arial"/>
          <w:sz w:val="20"/>
          <w:szCs w:val="20"/>
        </w:rPr>
        <w:t xml:space="preserve">,” </w:t>
      </w:r>
      <w:r w:rsidR="00FF0B72" w:rsidRPr="005B3BDE">
        <w:rPr>
          <w:rFonts w:ascii="Arial" w:hAnsi="Arial" w:cs="Arial"/>
          <w:i/>
          <w:iCs/>
          <w:sz w:val="20"/>
          <w:szCs w:val="20"/>
        </w:rPr>
        <w:t xml:space="preserve">Proceedings of </w:t>
      </w:r>
      <w:r>
        <w:rPr>
          <w:rFonts w:ascii="Arial" w:hAnsi="Arial" w:cs="Arial"/>
          <w:i/>
          <w:iCs/>
          <w:sz w:val="20"/>
          <w:szCs w:val="20"/>
        </w:rPr>
        <w:t>3</w:t>
      </w:r>
      <w:r w:rsidRPr="00880A23">
        <w:rPr>
          <w:rFonts w:ascii="Arial" w:hAnsi="Arial" w:cs="Arial"/>
          <w:i/>
          <w:iCs/>
          <w:sz w:val="20"/>
          <w:szCs w:val="20"/>
          <w:vertAlign w:val="superscript"/>
        </w:rPr>
        <w:t>rd</w:t>
      </w:r>
      <w:r>
        <w:rPr>
          <w:rFonts w:ascii="Arial" w:hAnsi="Arial" w:cs="Arial"/>
          <w:i/>
          <w:iCs/>
          <w:sz w:val="20"/>
          <w:szCs w:val="20"/>
        </w:rPr>
        <w:t xml:space="preserve"> International Symposium for Engineering Education</w:t>
      </w:r>
      <w:r w:rsidR="00FF0B72" w:rsidRPr="005B3BDE">
        <w:rPr>
          <w:rFonts w:ascii="Arial" w:hAnsi="Arial" w:cs="Arial"/>
          <w:sz w:val="20"/>
          <w:szCs w:val="20"/>
        </w:rPr>
        <w:t xml:space="preserve">, </w:t>
      </w:r>
      <w:r>
        <w:rPr>
          <w:rFonts w:ascii="Arial" w:hAnsi="Arial" w:cs="Arial"/>
          <w:sz w:val="20"/>
          <w:szCs w:val="20"/>
        </w:rPr>
        <w:t>University College Cork, Cork, Ireland, 2010.</w:t>
      </w:r>
    </w:p>
    <w:p w:rsidR="00FF0B72" w:rsidRPr="007F0B60" w:rsidRDefault="00FF0B72" w:rsidP="00BF3744">
      <w:pPr>
        <w:rPr>
          <w:rFonts w:ascii="Arial" w:hAnsi="Arial" w:cs="Arial"/>
          <w:sz w:val="20"/>
          <w:szCs w:val="20"/>
        </w:rPr>
      </w:pPr>
    </w:p>
    <w:p w:rsidR="00BF3744" w:rsidRPr="007F0B60" w:rsidRDefault="00BF3744" w:rsidP="00BF3744">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p>
    <w:p w:rsidR="001C7182" w:rsidRPr="007F0B60" w:rsidRDefault="001C7182" w:rsidP="001C7182">
      <w:pPr>
        <w:rPr>
          <w:rFonts w:ascii="Arial" w:hAnsi="Arial" w:cs="Arial"/>
          <w:sz w:val="20"/>
          <w:szCs w:val="20"/>
        </w:rPr>
      </w:pPr>
    </w:p>
    <w:p w:rsidR="00CC3F80" w:rsidRPr="007F0B60" w:rsidRDefault="00CC3F80" w:rsidP="0005401C">
      <w:pPr>
        <w:spacing w:line="276" w:lineRule="auto"/>
        <w:jc w:val="left"/>
        <w:rPr>
          <w:rFonts w:ascii="Arial" w:eastAsiaTheme="majorEastAsia" w:hAnsi="Arial" w:cs="Arial"/>
          <w:b/>
          <w:bCs/>
          <w:sz w:val="20"/>
          <w:szCs w:val="20"/>
        </w:rPr>
      </w:pPr>
    </w:p>
    <w:sectPr w:rsidR="00CC3F80" w:rsidRPr="007F0B60" w:rsidSect="007F0B60">
      <w:pgSz w:w="11906" w:h="16838" w:code="9"/>
      <w:pgMar w:top="1985"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D94" w:rsidRDefault="008D4D94" w:rsidP="00AF1CFA">
      <w:pPr>
        <w:spacing w:line="240" w:lineRule="auto"/>
      </w:pPr>
      <w:r>
        <w:separator/>
      </w:r>
    </w:p>
  </w:endnote>
  <w:endnote w:type="continuationSeparator" w:id="0">
    <w:p w:rsidR="008D4D94" w:rsidRDefault="008D4D94" w:rsidP="00AF1C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D94" w:rsidRDefault="008D4D94" w:rsidP="00AF1CFA">
      <w:pPr>
        <w:spacing w:line="240" w:lineRule="auto"/>
      </w:pPr>
      <w:r>
        <w:separator/>
      </w:r>
    </w:p>
  </w:footnote>
  <w:footnote w:type="continuationSeparator" w:id="0">
    <w:p w:rsidR="008D4D94" w:rsidRDefault="008D4D94" w:rsidP="00AF1C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95E6D"/>
    <w:multiLevelType w:val="multilevel"/>
    <w:tmpl w:val="A952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B273DD"/>
    <w:multiLevelType w:val="hybridMultilevel"/>
    <w:tmpl w:val="57500DC2"/>
    <w:lvl w:ilvl="0" w:tplc="97D446D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200232E"/>
    <w:multiLevelType w:val="multilevel"/>
    <w:tmpl w:val="EB36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9D79B1"/>
    <w:multiLevelType w:val="hybridMultilevel"/>
    <w:tmpl w:val="089A6F1E"/>
    <w:lvl w:ilvl="0" w:tplc="34CE1760">
      <w:start w:val="2"/>
      <w:numFmt w:val="decimal"/>
      <w:pStyle w:val="References"/>
      <w:lvlText w:val="%1."/>
      <w:lvlJc w:val="left"/>
      <w:pPr>
        <w:tabs>
          <w:tab w:val="num" w:pos="360"/>
        </w:tabs>
        <w:ind w:left="360" w:hanging="360"/>
      </w:pPr>
      <w:rPr>
        <w:rFonts w:hint="default"/>
      </w:rPr>
    </w:lvl>
    <w:lvl w:ilvl="1" w:tplc="DF18173C">
      <w:start w:val="1"/>
      <w:numFmt w:val="bullet"/>
      <w:lvlText w:val="o"/>
      <w:lvlJc w:val="left"/>
      <w:pPr>
        <w:tabs>
          <w:tab w:val="num" w:pos="1080"/>
        </w:tabs>
        <w:ind w:left="1080" w:hanging="360"/>
      </w:pPr>
      <w:rPr>
        <w:rFonts w:ascii="Courier New" w:hAnsi="Courier New" w:hint="default"/>
      </w:rPr>
    </w:lvl>
    <w:lvl w:ilvl="2" w:tplc="B9FA28EE" w:tentative="1">
      <w:start w:val="1"/>
      <w:numFmt w:val="bullet"/>
      <w:lvlText w:val=""/>
      <w:lvlJc w:val="left"/>
      <w:pPr>
        <w:tabs>
          <w:tab w:val="num" w:pos="1800"/>
        </w:tabs>
        <w:ind w:left="1800" w:hanging="360"/>
      </w:pPr>
      <w:rPr>
        <w:rFonts w:ascii="Wingdings" w:hAnsi="Wingdings" w:hint="default"/>
      </w:rPr>
    </w:lvl>
    <w:lvl w:ilvl="3" w:tplc="BF0A633A" w:tentative="1">
      <w:start w:val="1"/>
      <w:numFmt w:val="bullet"/>
      <w:lvlText w:val=""/>
      <w:lvlJc w:val="left"/>
      <w:pPr>
        <w:tabs>
          <w:tab w:val="num" w:pos="2520"/>
        </w:tabs>
        <w:ind w:left="2520" w:hanging="360"/>
      </w:pPr>
      <w:rPr>
        <w:rFonts w:ascii="Symbol" w:hAnsi="Symbol" w:hint="default"/>
      </w:rPr>
    </w:lvl>
    <w:lvl w:ilvl="4" w:tplc="22D46E48" w:tentative="1">
      <w:start w:val="1"/>
      <w:numFmt w:val="bullet"/>
      <w:lvlText w:val="o"/>
      <w:lvlJc w:val="left"/>
      <w:pPr>
        <w:tabs>
          <w:tab w:val="num" w:pos="3240"/>
        </w:tabs>
        <w:ind w:left="3240" w:hanging="360"/>
      </w:pPr>
      <w:rPr>
        <w:rFonts w:ascii="Courier New" w:hAnsi="Courier New" w:hint="default"/>
      </w:rPr>
    </w:lvl>
    <w:lvl w:ilvl="5" w:tplc="2FCAA2A2" w:tentative="1">
      <w:start w:val="1"/>
      <w:numFmt w:val="bullet"/>
      <w:lvlText w:val=""/>
      <w:lvlJc w:val="left"/>
      <w:pPr>
        <w:tabs>
          <w:tab w:val="num" w:pos="3960"/>
        </w:tabs>
        <w:ind w:left="3960" w:hanging="360"/>
      </w:pPr>
      <w:rPr>
        <w:rFonts w:ascii="Wingdings" w:hAnsi="Wingdings" w:hint="default"/>
      </w:rPr>
    </w:lvl>
    <w:lvl w:ilvl="6" w:tplc="C4A8DE52" w:tentative="1">
      <w:start w:val="1"/>
      <w:numFmt w:val="bullet"/>
      <w:lvlText w:val=""/>
      <w:lvlJc w:val="left"/>
      <w:pPr>
        <w:tabs>
          <w:tab w:val="num" w:pos="4680"/>
        </w:tabs>
        <w:ind w:left="4680" w:hanging="360"/>
      </w:pPr>
      <w:rPr>
        <w:rFonts w:ascii="Symbol" w:hAnsi="Symbol" w:hint="default"/>
      </w:rPr>
    </w:lvl>
    <w:lvl w:ilvl="7" w:tplc="B2ACF740" w:tentative="1">
      <w:start w:val="1"/>
      <w:numFmt w:val="bullet"/>
      <w:lvlText w:val="o"/>
      <w:lvlJc w:val="left"/>
      <w:pPr>
        <w:tabs>
          <w:tab w:val="num" w:pos="5400"/>
        </w:tabs>
        <w:ind w:left="5400" w:hanging="360"/>
      </w:pPr>
      <w:rPr>
        <w:rFonts w:ascii="Courier New" w:hAnsi="Courier New" w:hint="default"/>
      </w:rPr>
    </w:lvl>
    <w:lvl w:ilvl="8" w:tplc="F0E66C4A" w:tentative="1">
      <w:start w:val="1"/>
      <w:numFmt w:val="bullet"/>
      <w:lvlText w:val=""/>
      <w:lvlJc w:val="left"/>
      <w:pPr>
        <w:tabs>
          <w:tab w:val="num" w:pos="6120"/>
        </w:tabs>
        <w:ind w:left="6120" w:hanging="360"/>
      </w:pPr>
      <w:rPr>
        <w:rFonts w:ascii="Wingdings" w:hAnsi="Wingdings" w:hint="default"/>
      </w:rPr>
    </w:lvl>
  </w:abstractNum>
  <w:abstractNum w:abstractNumId="4">
    <w:nsid w:val="2EC85B8E"/>
    <w:multiLevelType w:val="multilevel"/>
    <w:tmpl w:val="526C6BE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9033BD"/>
    <w:multiLevelType w:val="multilevel"/>
    <w:tmpl w:val="49FCA4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8E705CE"/>
    <w:multiLevelType w:val="multilevel"/>
    <w:tmpl w:val="B44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5BB415D"/>
    <w:multiLevelType w:val="multilevel"/>
    <w:tmpl w:val="BBC040F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AC06A3"/>
    <w:multiLevelType w:val="multilevel"/>
    <w:tmpl w:val="BA9805A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CDF66E9"/>
    <w:multiLevelType w:val="multilevel"/>
    <w:tmpl w:val="AF6A1DD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9D046C"/>
    <w:multiLevelType w:val="hybridMultilevel"/>
    <w:tmpl w:val="32D814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FA8373D"/>
    <w:multiLevelType w:val="multilevel"/>
    <w:tmpl w:val="DB5C04E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5"/>
  </w:num>
  <w:num w:numId="4">
    <w:abstractNumId w:val="6"/>
  </w:num>
  <w:num w:numId="5">
    <w:abstractNumId w:val="9"/>
  </w:num>
  <w:num w:numId="6">
    <w:abstractNumId w:val="0"/>
  </w:num>
  <w:num w:numId="7">
    <w:abstractNumId w:val="8"/>
  </w:num>
  <w:num w:numId="8">
    <w:abstractNumId w:val="7"/>
  </w:num>
  <w:num w:numId="9">
    <w:abstractNumId w:val="4"/>
  </w:num>
  <w:num w:numId="10">
    <w:abstractNumId w:val="1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16160"/>
    <w:rsid w:val="000017A1"/>
    <w:rsid w:val="0005401C"/>
    <w:rsid w:val="000A742D"/>
    <w:rsid w:val="000B5F78"/>
    <w:rsid w:val="000C28BE"/>
    <w:rsid w:val="000F6100"/>
    <w:rsid w:val="00165340"/>
    <w:rsid w:val="001A0ACA"/>
    <w:rsid w:val="001C7182"/>
    <w:rsid w:val="00224CE4"/>
    <w:rsid w:val="00272EE7"/>
    <w:rsid w:val="0029322E"/>
    <w:rsid w:val="002A5E8C"/>
    <w:rsid w:val="002C74F4"/>
    <w:rsid w:val="002F61F5"/>
    <w:rsid w:val="00320BFA"/>
    <w:rsid w:val="0033504A"/>
    <w:rsid w:val="00416160"/>
    <w:rsid w:val="00417D85"/>
    <w:rsid w:val="0043058C"/>
    <w:rsid w:val="0056156E"/>
    <w:rsid w:val="005A3EAC"/>
    <w:rsid w:val="005E17B6"/>
    <w:rsid w:val="005F27C1"/>
    <w:rsid w:val="00725893"/>
    <w:rsid w:val="00726F99"/>
    <w:rsid w:val="00746DA8"/>
    <w:rsid w:val="007737DD"/>
    <w:rsid w:val="007930D5"/>
    <w:rsid w:val="007F0B60"/>
    <w:rsid w:val="00850AB6"/>
    <w:rsid w:val="00880A23"/>
    <w:rsid w:val="008D4D94"/>
    <w:rsid w:val="008F10EB"/>
    <w:rsid w:val="00AF1CFA"/>
    <w:rsid w:val="00B041BD"/>
    <w:rsid w:val="00B50680"/>
    <w:rsid w:val="00B872AF"/>
    <w:rsid w:val="00BC08F9"/>
    <w:rsid w:val="00BF3744"/>
    <w:rsid w:val="00BF5759"/>
    <w:rsid w:val="00CA3792"/>
    <w:rsid w:val="00CC0FC1"/>
    <w:rsid w:val="00CC3F80"/>
    <w:rsid w:val="00D15A00"/>
    <w:rsid w:val="00D328EB"/>
    <w:rsid w:val="00D44EA9"/>
    <w:rsid w:val="00DE1F59"/>
    <w:rsid w:val="00DF3BCF"/>
    <w:rsid w:val="00E3637F"/>
    <w:rsid w:val="00ED1FCC"/>
    <w:rsid w:val="00EE0107"/>
    <w:rsid w:val="00EF2EB9"/>
    <w:rsid w:val="00F24CE0"/>
    <w:rsid w:val="00F8128E"/>
    <w:rsid w:val="00FF0B7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arc" idref="#_x0000_s1027"/>
        <o:r id="V:Rule2" type="arc" idref="#_x0000_s1026"/>
        <o:r id="V:Rule7" type="connector" idref="#_x0000_s1034"/>
        <o:r id="V:Rule8" type="connector" idref="#_x0000_s1035"/>
        <o:r id="V:Rule9" type="connector" idref="#_x0000_s1042"/>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FA"/>
    <w:pPr>
      <w:spacing w:after="0" w:line="360" w:lineRule="auto"/>
      <w:jc w:val="both"/>
    </w:pPr>
    <w:rPr>
      <w:sz w:val="24"/>
    </w:rPr>
  </w:style>
  <w:style w:type="paragraph" w:styleId="Heading1">
    <w:name w:val="heading 1"/>
    <w:basedOn w:val="Normal"/>
    <w:next w:val="Normal"/>
    <w:link w:val="Heading1Char"/>
    <w:uiPriority w:val="9"/>
    <w:qFormat/>
    <w:rsid w:val="001C71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F374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160"/>
    <w:pPr>
      <w:spacing w:before="100" w:beforeAutospacing="1" w:after="100" w:afterAutospacing="1" w:line="240" w:lineRule="auto"/>
    </w:pPr>
    <w:rPr>
      <w:rFonts w:ascii="Times New Roman" w:eastAsia="Times New Roman" w:hAnsi="Times New Roman" w:cs="Times New Roman"/>
      <w:szCs w:val="24"/>
      <w:lang w:eastAsia="en-IE"/>
    </w:rPr>
  </w:style>
  <w:style w:type="character" w:customStyle="1" w:styleId="Heading3Char">
    <w:name w:val="Heading 3 Char"/>
    <w:basedOn w:val="DefaultParagraphFont"/>
    <w:link w:val="Heading3"/>
    <w:uiPriority w:val="9"/>
    <w:rsid w:val="00BF374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46D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DA8"/>
    <w:rPr>
      <w:rFonts w:ascii="Tahoma" w:hAnsi="Tahoma" w:cs="Tahoma"/>
      <w:sz w:val="16"/>
      <w:szCs w:val="16"/>
    </w:rPr>
  </w:style>
  <w:style w:type="character" w:customStyle="1" w:styleId="Heading1Char">
    <w:name w:val="Heading 1 Char"/>
    <w:basedOn w:val="DefaultParagraphFont"/>
    <w:link w:val="Heading1"/>
    <w:uiPriority w:val="9"/>
    <w:rsid w:val="001C7182"/>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1C7182"/>
    <w:rPr>
      <w:i/>
      <w:iCs/>
    </w:rPr>
  </w:style>
  <w:style w:type="table" w:customStyle="1" w:styleId="LightShading1">
    <w:name w:val="Light Shading1"/>
    <w:basedOn w:val="TableNormal"/>
    <w:uiPriority w:val="60"/>
    <w:rsid w:val="001C718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
    <w:name w:val="Table"/>
    <w:basedOn w:val="Normal"/>
    <w:qFormat/>
    <w:rsid w:val="001C7182"/>
    <w:pPr>
      <w:spacing w:line="240" w:lineRule="auto"/>
      <w:jc w:val="center"/>
    </w:pPr>
  </w:style>
  <w:style w:type="paragraph" w:styleId="BodyText">
    <w:name w:val="Body Text"/>
    <w:basedOn w:val="Normal"/>
    <w:link w:val="BodyTextChar"/>
    <w:semiHidden/>
    <w:rsid w:val="001C7182"/>
    <w:pPr>
      <w:spacing w:line="240" w:lineRule="auto"/>
    </w:pPr>
    <w:rPr>
      <w:rFonts w:ascii="Times New Roman" w:eastAsia="Times New Roman" w:hAnsi="Times New Roman" w:cs="Times New Roman"/>
      <w:b/>
      <w:szCs w:val="20"/>
      <w:lang w:val="en-GB" w:eastAsia="en-GB"/>
    </w:rPr>
  </w:style>
  <w:style w:type="character" w:customStyle="1" w:styleId="BodyTextChar">
    <w:name w:val="Body Text Char"/>
    <w:basedOn w:val="DefaultParagraphFont"/>
    <w:link w:val="BodyText"/>
    <w:semiHidden/>
    <w:rsid w:val="001C7182"/>
    <w:rPr>
      <w:rFonts w:ascii="Times New Roman" w:eastAsia="Times New Roman" w:hAnsi="Times New Roman" w:cs="Times New Roman"/>
      <w:b/>
      <w:sz w:val="24"/>
      <w:szCs w:val="20"/>
      <w:lang w:val="en-GB" w:eastAsia="en-GB"/>
    </w:rPr>
  </w:style>
  <w:style w:type="paragraph" w:customStyle="1" w:styleId="Author">
    <w:name w:val="Author"/>
    <w:basedOn w:val="Normal"/>
    <w:rsid w:val="00D15A00"/>
    <w:pPr>
      <w:spacing w:before="240" w:after="240" w:line="240" w:lineRule="auto"/>
      <w:jc w:val="center"/>
    </w:pPr>
    <w:rPr>
      <w:rFonts w:ascii="Times New Roman" w:eastAsia="Batang" w:hAnsi="Times New Roman" w:cs="Times New Roman"/>
      <w:b/>
      <w:szCs w:val="20"/>
      <w:lang w:val="en-GB"/>
    </w:rPr>
  </w:style>
  <w:style w:type="paragraph" w:customStyle="1" w:styleId="Section">
    <w:name w:val="Section"/>
    <w:basedOn w:val="Normal"/>
    <w:next w:val="Normal"/>
    <w:rsid w:val="00D15A00"/>
    <w:pPr>
      <w:keepNext/>
      <w:tabs>
        <w:tab w:val="left" w:pos="284"/>
      </w:tabs>
      <w:spacing w:before="240" w:after="160" w:line="240" w:lineRule="auto"/>
    </w:pPr>
    <w:rPr>
      <w:rFonts w:ascii="Arial" w:eastAsia="Batang" w:hAnsi="Arial" w:cs="Times New Roman"/>
      <w:b/>
      <w:sz w:val="22"/>
      <w:szCs w:val="20"/>
      <w:lang w:val="en-GB"/>
    </w:rPr>
  </w:style>
  <w:style w:type="character" w:customStyle="1" w:styleId="apple-style-span">
    <w:name w:val="apple-style-span"/>
    <w:basedOn w:val="DefaultParagraphFont"/>
    <w:rsid w:val="00D15A00"/>
  </w:style>
  <w:style w:type="paragraph" w:styleId="ListParagraph">
    <w:name w:val="List Paragraph"/>
    <w:basedOn w:val="Normal"/>
    <w:uiPriority w:val="34"/>
    <w:qFormat/>
    <w:rsid w:val="00D328EB"/>
    <w:pPr>
      <w:ind w:left="720"/>
      <w:contextualSpacing/>
    </w:pPr>
  </w:style>
  <w:style w:type="paragraph" w:customStyle="1" w:styleId="References">
    <w:name w:val="References"/>
    <w:basedOn w:val="Normal"/>
    <w:rsid w:val="00FF0B72"/>
    <w:pPr>
      <w:numPr>
        <w:numId w:val="12"/>
      </w:numPr>
      <w:spacing w:after="120" w:line="240" w:lineRule="auto"/>
    </w:pPr>
    <w:rPr>
      <w:rFonts w:ascii="Times New Roman" w:eastAsia="Times New Roman" w:hAnsi="Times New Roman" w:cs="Times New Roman"/>
      <w:sz w:val="18"/>
      <w:szCs w:val="16"/>
      <w:lang w:val="en-US" w:eastAsia="pt-BR"/>
    </w:rPr>
  </w:style>
  <w:style w:type="character" w:styleId="Hyperlink">
    <w:name w:val="Hyperlink"/>
    <w:basedOn w:val="DefaultParagraphFont"/>
    <w:uiPriority w:val="99"/>
    <w:unhideWhenUsed/>
    <w:rsid w:val="00FF0B72"/>
    <w:rPr>
      <w:color w:val="0000FF" w:themeColor="hyperlink"/>
      <w:u w:val="single"/>
    </w:rPr>
  </w:style>
  <w:style w:type="paragraph" w:styleId="Header">
    <w:name w:val="header"/>
    <w:basedOn w:val="Normal"/>
    <w:link w:val="HeaderChar"/>
    <w:uiPriority w:val="99"/>
    <w:semiHidden/>
    <w:unhideWhenUsed/>
    <w:rsid w:val="00AF1CF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F1CFA"/>
    <w:rPr>
      <w:sz w:val="24"/>
    </w:rPr>
  </w:style>
  <w:style w:type="paragraph" w:styleId="Footer">
    <w:name w:val="footer"/>
    <w:basedOn w:val="Normal"/>
    <w:link w:val="FooterChar"/>
    <w:uiPriority w:val="99"/>
    <w:semiHidden/>
    <w:unhideWhenUsed/>
    <w:rsid w:val="00AF1CF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AF1CFA"/>
    <w:rPr>
      <w:sz w:val="24"/>
    </w:rPr>
  </w:style>
</w:styles>
</file>

<file path=word/webSettings.xml><?xml version="1.0" encoding="utf-8"?>
<w:webSettings xmlns:r="http://schemas.openxmlformats.org/officeDocument/2006/relationships" xmlns:w="http://schemas.openxmlformats.org/wordprocessingml/2006/main">
  <w:divs>
    <w:div w:id="1076897574">
      <w:bodyDiv w:val="1"/>
      <w:marLeft w:val="0"/>
      <w:marRight w:val="0"/>
      <w:marTop w:val="0"/>
      <w:marBottom w:val="0"/>
      <w:divBdr>
        <w:top w:val="none" w:sz="0" w:space="0" w:color="auto"/>
        <w:left w:val="none" w:sz="0" w:space="0" w:color="auto"/>
        <w:bottom w:val="none" w:sz="0" w:space="0" w:color="auto"/>
        <w:right w:val="none" w:sz="0" w:space="0" w:color="auto"/>
      </w:divBdr>
      <w:divsChild>
        <w:div w:id="1288203153">
          <w:marLeft w:val="0"/>
          <w:marRight w:val="0"/>
          <w:marTop w:val="0"/>
          <w:marBottom w:val="0"/>
          <w:divBdr>
            <w:top w:val="none" w:sz="0" w:space="0" w:color="auto"/>
            <w:left w:val="none" w:sz="0" w:space="0" w:color="auto"/>
            <w:bottom w:val="none" w:sz="0" w:space="0" w:color="auto"/>
            <w:right w:val="none" w:sz="0" w:space="0" w:color="auto"/>
          </w:divBdr>
          <w:divsChild>
            <w:div w:id="475102365">
              <w:marLeft w:val="0"/>
              <w:marRight w:val="0"/>
              <w:marTop w:val="0"/>
              <w:marBottom w:val="0"/>
              <w:divBdr>
                <w:top w:val="none" w:sz="0" w:space="0" w:color="auto"/>
                <w:left w:val="none" w:sz="0" w:space="0" w:color="auto"/>
                <w:bottom w:val="none" w:sz="0" w:space="0" w:color="auto"/>
                <w:right w:val="none" w:sz="0" w:space="0" w:color="auto"/>
              </w:divBdr>
              <w:divsChild>
                <w:div w:id="4250734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5516570">
                      <w:marLeft w:val="0"/>
                      <w:marRight w:val="0"/>
                      <w:marTop w:val="0"/>
                      <w:marBottom w:val="0"/>
                      <w:divBdr>
                        <w:top w:val="none" w:sz="0" w:space="0" w:color="auto"/>
                        <w:left w:val="none" w:sz="0" w:space="0" w:color="auto"/>
                        <w:bottom w:val="none" w:sz="0" w:space="0" w:color="auto"/>
                        <w:right w:val="none" w:sz="0" w:space="0" w:color="auto"/>
                      </w:divBdr>
                      <w:divsChild>
                        <w:div w:id="977539167">
                          <w:marLeft w:val="0"/>
                          <w:marRight w:val="0"/>
                          <w:marTop w:val="0"/>
                          <w:marBottom w:val="0"/>
                          <w:divBdr>
                            <w:top w:val="none" w:sz="0" w:space="0" w:color="auto"/>
                            <w:left w:val="none" w:sz="0" w:space="0" w:color="auto"/>
                            <w:bottom w:val="none" w:sz="0" w:space="0" w:color="auto"/>
                            <w:right w:val="none" w:sz="0" w:space="0" w:color="auto"/>
                          </w:divBdr>
                          <w:divsChild>
                            <w:div w:id="797259314">
                              <w:marLeft w:val="0"/>
                              <w:marRight w:val="0"/>
                              <w:marTop w:val="0"/>
                              <w:marBottom w:val="0"/>
                              <w:divBdr>
                                <w:top w:val="none" w:sz="0" w:space="0" w:color="auto"/>
                                <w:left w:val="none" w:sz="0" w:space="0" w:color="auto"/>
                                <w:bottom w:val="none" w:sz="0" w:space="0" w:color="auto"/>
                                <w:right w:val="none" w:sz="0" w:space="0" w:color="auto"/>
                              </w:divBdr>
                              <w:divsChild>
                                <w:div w:id="1910774110">
                                  <w:marLeft w:val="0"/>
                                  <w:marRight w:val="0"/>
                                  <w:marTop w:val="0"/>
                                  <w:marBottom w:val="0"/>
                                  <w:divBdr>
                                    <w:top w:val="single" w:sz="2" w:space="8" w:color="000000"/>
                                    <w:left w:val="single" w:sz="2" w:space="0" w:color="000000"/>
                                    <w:bottom w:val="single" w:sz="2" w:space="8" w:color="000000"/>
                                    <w:right w:val="single" w:sz="2" w:space="0" w:color="000000"/>
                                  </w:divBdr>
                                  <w:divsChild>
                                    <w:div w:id="318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loanconsortium.org/publications/magazine/v2n2/mason.as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7</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 Sligo</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sreid</dc:creator>
  <cp:keywords/>
  <dc:description/>
  <cp:lastModifiedBy>bmulligan</cp:lastModifiedBy>
  <cp:revision>19</cp:revision>
  <dcterms:created xsi:type="dcterms:W3CDTF">2011-05-12T18:55:00Z</dcterms:created>
  <dcterms:modified xsi:type="dcterms:W3CDTF">2011-05-15T22:22:00Z</dcterms:modified>
</cp:coreProperties>
</file>