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0A" w:rsidRDefault="005B270A" w:rsidP="00431ACF">
      <w:pPr>
        <w:pStyle w:val="Author"/>
        <w:spacing w:before="0" w:after="0"/>
        <w:rPr>
          <w:rFonts w:ascii="Arial" w:hAnsi="Arial" w:cs="Arial"/>
          <w:sz w:val="28"/>
          <w:szCs w:val="28"/>
        </w:rPr>
      </w:pPr>
      <w:r w:rsidRPr="005B270A">
        <w:rPr>
          <w:rFonts w:ascii="Arial" w:hAnsi="Arial" w:cs="Arial"/>
          <w:sz w:val="28"/>
          <w:szCs w:val="28"/>
        </w:rPr>
        <w:t xml:space="preserve">Comparing Student Learning in a Required Electrical Engineering Undergraduate Course:  </w:t>
      </w:r>
    </w:p>
    <w:p w:rsidR="00C34F34" w:rsidRPr="005B270A" w:rsidRDefault="005B270A" w:rsidP="00431ACF">
      <w:pPr>
        <w:pStyle w:val="Author"/>
        <w:spacing w:before="0" w:after="0"/>
        <w:rPr>
          <w:rFonts w:ascii="Arial" w:hAnsi="Arial" w:cs="Arial"/>
          <w:bCs/>
          <w:sz w:val="28"/>
          <w:szCs w:val="28"/>
          <w:lang w:val="en-US" w:eastAsia="ko-KR"/>
        </w:rPr>
      </w:pPr>
      <w:r w:rsidRPr="005B270A">
        <w:rPr>
          <w:rFonts w:ascii="Arial" w:hAnsi="Arial" w:cs="Arial"/>
          <w:sz w:val="28"/>
          <w:szCs w:val="28"/>
        </w:rPr>
        <w:t>Traditional Face-to-Face vs. Online</w:t>
      </w:r>
    </w:p>
    <w:p w:rsidR="00AC6F08" w:rsidRPr="005B270A" w:rsidRDefault="00AC6F08" w:rsidP="00C34F34">
      <w:pPr>
        <w:pStyle w:val="Author"/>
        <w:spacing w:before="0" w:after="0" w:line="240" w:lineRule="exact"/>
        <w:rPr>
          <w:rFonts w:ascii="Arial" w:hAnsi="Arial" w:cs="Arial"/>
          <w:b w:val="0"/>
          <w:sz w:val="20"/>
          <w:lang w:val="en-US" w:eastAsia="ko-KR"/>
        </w:rPr>
      </w:pPr>
    </w:p>
    <w:p w:rsidR="00693C60" w:rsidRPr="00C34F34" w:rsidRDefault="00693C60" w:rsidP="00C34F34">
      <w:pPr>
        <w:pStyle w:val="Author"/>
        <w:spacing w:before="0" w:after="0" w:line="240" w:lineRule="exact"/>
        <w:rPr>
          <w:rFonts w:ascii="Arial" w:hAnsi="Arial" w:cs="Arial"/>
          <w:sz w:val="20"/>
          <w:lang w:val="en-US" w:eastAsia="ko-KR"/>
        </w:rPr>
      </w:pPr>
    </w:p>
    <w:p w:rsidR="00C34F34" w:rsidRDefault="00C34F34" w:rsidP="00AC6F08">
      <w:pPr>
        <w:pStyle w:val="Author"/>
        <w:spacing w:before="0" w:after="0" w:line="240" w:lineRule="exact"/>
        <w:rPr>
          <w:rFonts w:ascii="Arial" w:hAnsi="Arial" w:cs="Arial"/>
          <w:sz w:val="20"/>
          <w:lang w:eastAsia="ko-KR"/>
        </w:rPr>
      </w:pPr>
    </w:p>
    <w:p w:rsidR="00171AF0" w:rsidRPr="005B270A" w:rsidRDefault="005B270A" w:rsidP="00171AF0">
      <w:pPr>
        <w:jc w:val="center"/>
        <w:rPr>
          <w:rFonts w:ascii="Arial" w:hAnsi="Arial" w:cs="Arial"/>
          <w:b/>
          <w:lang w:eastAsia="ko-KR"/>
        </w:rPr>
      </w:pPr>
      <w:r w:rsidRPr="005B270A">
        <w:rPr>
          <w:rFonts w:ascii="Arial" w:hAnsi="Arial" w:cs="Arial"/>
          <w:b/>
          <w:lang w:eastAsia="ko-KR"/>
        </w:rPr>
        <w:t>Carolyn Plumb</w:t>
      </w:r>
      <w:r>
        <w:rPr>
          <w:rFonts w:ascii="Arial" w:hAnsi="Arial" w:cs="Arial"/>
          <w:b/>
        </w:rPr>
        <w:t xml:space="preserve"> and </w:t>
      </w:r>
      <w:r w:rsidRPr="005B270A">
        <w:rPr>
          <w:rFonts w:ascii="Arial" w:hAnsi="Arial" w:cs="Arial"/>
          <w:b/>
          <w:lang w:eastAsia="ko-KR"/>
        </w:rPr>
        <w:t>Brock LaMeres</w:t>
      </w:r>
    </w:p>
    <w:p w:rsidR="0088397B" w:rsidRDefault="005B270A" w:rsidP="00171AF0">
      <w:pPr>
        <w:jc w:val="center"/>
        <w:rPr>
          <w:rFonts w:ascii="Arial" w:hAnsi="Arial" w:cs="Arial"/>
          <w:sz w:val="20"/>
          <w:szCs w:val="20"/>
        </w:rPr>
      </w:pPr>
      <w:proofErr w:type="gramStart"/>
      <w:r>
        <w:rPr>
          <w:rFonts w:ascii="Arial" w:hAnsi="Arial" w:cs="Arial"/>
          <w:sz w:val="20"/>
          <w:szCs w:val="20"/>
        </w:rPr>
        <w:t>Montana State University, Bozeman, Montana, U.S.A.,</w:t>
      </w:r>
      <w:proofErr w:type="gramEnd"/>
      <w:r>
        <w:rPr>
          <w:rFonts w:ascii="Arial" w:hAnsi="Arial" w:cs="Arial"/>
          <w:sz w:val="20"/>
          <w:szCs w:val="20"/>
        </w:rPr>
        <w:t xml:space="preserve"> </w:t>
      </w:r>
    </w:p>
    <w:p w:rsidR="009E4EA2" w:rsidRPr="005B270A" w:rsidRDefault="005B270A" w:rsidP="00171AF0">
      <w:pPr>
        <w:jc w:val="center"/>
        <w:rPr>
          <w:rFonts w:ascii="Arial" w:hAnsi="Arial" w:cs="Arial"/>
          <w:sz w:val="20"/>
          <w:szCs w:val="20"/>
          <w:lang w:eastAsia="ko-KR"/>
        </w:rPr>
      </w:pPr>
      <w:r>
        <w:rPr>
          <w:rFonts w:ascii="Arial" w:hAnsi="Arial" w:cs="Arial"/>
          <w:sz w:val="20"/>
          <w:szCs w:val="20"/>
        </w:rPr>
        <w:t>cplumb@coe.montana.edu</w:t>
      </w:r>
      <w:r w:rsidR="008145F6" w:rsidRPr="005B270A">
        <w:rPr>
          <w:rFonts w:ascii="Arial" w:hAnsi="Arial" w:cs="Arial"/>
          <w:sz w:val="20"/>
          <w:szCs w:val="20"/>
        </w:rPr>
        <w:t xml:space="preserve"> </w:t>
      </w:r>
    </w:p>
    <w:p w:rsidR="008145F6" w:rsidRPr="00171AF0" w:rsidRDefault="005B270A" w:rsidP="00171AF0">
      <w:pPr>
        <w:jc w:val="center"/>
        <w:rPr>
          <w:rFonts w:ascii="Arial" w:hAnsi="Arial" w:cs="Arial"/>
          <w:sz w:val="20"/>
          <w:lang w:eastAsia="ko-KR"/>
        </w:rPr>
      </w:pPr>
      <w:r>
        <w:rPr>
          <w:rFonts w:ascii="Arial" w:hAnsi="Arial" w:cs="Arial"/>
          <w:sz w:val="20"/>
          <w:szCs w:val="20"/>
        </w:rPr>
        <w:t>lameres@ece.montana.edu</w:t>
      </w:r>
      <w:r w:rsidR="008145F6">
        <w:t xml:space="preserve"> </w:t>
      </w:r>
    </w:p>
    <w:p w:rsidR="00C34F34" w:rsidRDefault="00C34F34" w:rsidP="00C34F34">
      <w:pPr>
        <w:rPr>
          <w:lang w:eastAsia="ko-KR"/>
        </w:rPr>
      </w:pPr>
    </w:p>
    <w:p w:rsidR="00171AF0" w:rsidRPr="00C34F34" w:rsidRDefault="00171AF0" w:rsidP="00C34F34">
      <w:pPr>
        <w:rPr>
          <w:lang w:eastAsia="ko-KR"/>
        </w:rPr>
      </w:pPr>
    </w:p>
    <w:p w:rsidR="00AC6F08" w:rsidRPr="00171AF0" w:rsidRDefault="00AC6F08" w:rsidP="00AC6F08">
      <w:pPr>
        <w:pStyle w:val="Section"/>
        <w:rPr>
          <w:rFonts w:cs="Arial"/>
          <w:sz w:val="24"/>
          <w:szCs w:val="24"/>
        </w:rPr>
      </w:pPr>
      <w:r w:rsidRPr="00171AF0">
        <w:rPr>
          <w:rFonts w:cs="Arial"/>
          <w:sz w:val="24"/>
          <w:szCs w:val="24"/>
        </w:rPr>
        <w:t>Abstract</w:t>
      </w:r>
    </w:p>
    <w:p w:rsidR="00AC6F08" w:rsidRPr="005B270A" w:rsidRDefault="005B270A" w:rsidP="006D795F">
      <w:pPr>
        <w:jc w:val="both"/>
        <w:rPr>
          <w:rFonts w:ascii="Arial" w:hAnsi="Arial" w:cs="Arial"/>
          <w:sz w:val="20"/>
          <w:szCs w:val="20"/>
        </w:rPr>
      </w:pPr>
      <w:r w:rsidRPr="005B270A">
        <w:rPr>
          <w:rFonts w:ascii="Arial" w:hAnsi="Arial" w:cs="Arial"/>
          <w:sz w:val="20"/>
          <w:szCs w:val="20"/>
        </w:rPr>
        <w:t>Engineering education programs are looking for effective ways to more efficiently deliver engineering education to an increasingly heterogeneous customer base, including non-traditional students, some of whom are working full time.  Online courses and programs can be one option to meet the needs of this new customer base; however, educators need to ensure that the quality of the educational experience is maintained.  Thus, it is important to assess student learning in the online environment.  At Montana State University in Bozeman</w:t>
      </w:r>
      <w:r w:rsidR="006D795F">
        <w:rPr>
          <w:rFonts w:ascii="Arial" w:hAnsi="Arial" w:cs="Arial"/>
          <w:sz w:val="20"/>
          <w:szCs w:val="20"/>
        </w:rPr>
        <w:t>,</w:t>
      </w:r>
      <w:r w:rsidRPr="005B270A">
        <w:rPr>
          <w:rFonts w:ascii="Arial" w:hAnsi="Arial" w:cs="Arial"/>
          <w:sz w:val="20"/>
          <w:szCs w:val="20"/>
        </w:rPr>
        <w:t xml:space="preserve"> Montana, the College of Engineering is experimenting with online courses and programs that can be delivered not only to local students who have time constraints but also to students at a distance in one of the largest states in the U.S.  One required undergraduate course for electrical engineering students, Introduction to Logic Circuits, has recently been offered in the face-to-face (fall 2010) and online (spring 2011) environments, using exactly the same materials, which are modular materials developed summer 2010 for an online application.  The materials were accompanied by an in-person lecture in fall 2010 and a recorded </w:t>
      </w:r>
      <w:proofErr w:type="spellStart"/>
      <w:r w:rsidRPr="005B270A">
        <w:rPr>
          <w:rFonts w:ascii="Arial" w:hAnsi="Arial" w:cs="Arial"/>
          <w:sz w:val="20"/>
          <w:szCs w:val="20"/>
        </w:rPr>
        <w:t>Camtasia</w:t>
      </w:r>
      <w:proofErr w:type="spellEnd"/>
      <w:r w:rsidRPr="005B270A">
        <w:rPr>
          <w:rFonts w:ascii="Arial" w:hAnsi="Arial" w:cs="Arial"/>
          <w:sz w:val="20"/>
          <w:szCs w:val="20"/>
        </w:rPr>
        <w:t xml:space="preserve"> Relay lecture spring 2011.  At the end</w:t>
      </w:r>
      <w:r>
        <w:rPr>
          <w:rFonts w:ascii="Arial" w:hAnsi="Arial" w:cs="Arial"/>
          <w:sz w:val="20"/>
          <w:szCs w:val="20"/>
        </w:rPr>
        <w:t xml:space="preserve"> of spring semester 2011</w:t>
      </w:r>
      <w:r w:rsidR="00E823AE">
        <w:rPr>
          <w:rFonts w:ascii="Arial" w:hAnsi="Arial" w:cs="Arial"/>
          <w:sz w:val="20"/>
          <w:szCs w:val="20"/>
        </w:rPr>
        <w:t>,</w:t>
      </w:r>
      <w:r>
        <w:rPr>
          <w:rFonts w:ascii="Arial" w:hAnsi="Arial" w:cs="Arial"/>
          <w:sz w:val="20"/>
          <w:szCs w:val="20"/>
        </w:rPr>
        <w:t xml:space="preserve"> we were </w:t>
      </w:r>
      <w:r w:rsidRPr="005B270A">
        <w:rPr>
          <w:rFonts w:ascii="Arial" w:hAnsi="Arial" w:cs="Arial"/>
          <w:sz w:val="20"/>
          <w:szCs w:val="20"/>
        </w:rPr>
        <w:t>able to compare the performance of students from each environment in regard to performance on the same homework assignments, quizz</w:t>
      </w:r>
      <w:r>
        <w:rPr>
          <w:rFonts w:ascii="Arial" w:hAnsi="Arial" w:cs="Arial"/>
          <w:sz w:val="20"/>
          <w:szCs w:val="20"/>
        </w:rPr>
        <w:t xml:space="preserve">es, and final exam.  This data </w:t>
      </w:r>
      <w:r w:rsidRPr="005B270A">
        <w:rPr>
          <w:rFonts w:ascii="Arial" w:hAnsi="Arial" w:cs="Arial"/>
          <w:sz w:val="20"/>
          <w:szCs w:val="20"/>
        </w:rPr>
        <w:t>offer</w:t>
      </w:r>
      <w:r>
        <w:rPr>
          <w:rFonts w:ascii="Arial" w:hAnsi="Arial" w:cs="Arial"/>
          <w:sz w:val="20"/>
          <w:szCs w:val="20"/>
        </w:rPr>
        <w:t>s</w:t>
      </w:r>
      <w:r w:rsidRPr="005B270A">
        <w:rPr>
          <w:rFonts w:ascii="Arial" w:hAnsi="Arial" w:cs="Arial"/>
          <w:sz w:val="20"/>
          <w:szCs w:val="20"/>
        </w:rPr>
        <w:t xml:space="preserve"> an assessment of student learning in the tw</w:t>
      </w:r>
      <w:r>
        <w:rPr>
          <w:rFonts w:ascii="Arial" w:hAnsi="Arial" w:cs="Arial"/>
          <w:sz w:val="20"/>
          <w:szCs w:val="20"/>
        </w:rPr>
        <w:t xml:space="preserve">o environments.  The paper </w:t>
      </w:r>
      <w:r w:rsidRPr="005B270A">
        <w:rPr>
          <w:rFonts w:ascii="Arial" w:hAnsi="Arial" w:cs="Arial"/>
          <w:sz w:val="20"/>
          <w:szCs w:val="20"/>
        </w:rPr>
        <w:t>also include</w:t>
      </w:r>
      <w:r>
        <w:rPr>
          <w:rFonts w:ascii="Arial" w:hAnsi="Arial" w:cs="Arial"/>
          <w:sz w:val="20"/>
          <w:szCs w:val="20"/>
        </w:rPr>
        <w:t>s</w:t>
      </w:r>
      <w:r w:rsidRPr="005B270A">
        <w:rPr>
          <w:rFonts w:ascii="Arial" w:hAnsi="Arial" w:cs="Arial"/>
          <w:sz w:val="20"/>
          <w:szCs w:val="20"/>
        </w:rPr>
        <w:t xml:space="preserve"> a summary of the course modules.  </w:t>
      </w:r>
    </w:p>
    <w:p w:rsidR="00AC6F08" w:rsidRPr="00171AF0" w:rsidRDefault="00BF527A" w:rsidP="00AC6F08">
      <w:pPr>
        <w:pStyle w:val="Section"/>
        <w:rPr>
          <w:rFonts w:cs="Arial"/>
          <w:sz w:val="24"/>
          <w:szCs w:val="24"/>
          <w:lang w:eastAsia="ko-KR"/>
        </w:rPr>
      </w:pPr>
      <w:r>
        <w:rPr>
          <w:rFonts w:cs="Arial"/>
          <w:sz w:val="24"/>
          <w:szCs w:val="24"/>
        </w:rPr>
        <w:t>1.</w:t>
      </w:r>
      <w:r>
        <w:rPr>
          <w:rFonts w:cs="Arial"/>
          <w:sz w:val="24"/>
          <w:szCs w:val="24"/>
        </w:rPr>
        <w:tab/>
      </w:r>
      <w:r w:rsidR="00AC6F08" w:rsidRPr="00171AF0">
        <w:rPr>
          <w:rFonts w:cs="Arial"/>
          <w:sz w:val="24"/>
          <w:szCs w:val="24"/>
        </w:rPr>
        <w:t>Introduction</w:t>
      </w:r>
    </w:p>
    <w:p w:rsidR="00226293" w:rsidRDefault="006D795F" w:rsidP="00D07C42">
      <w:pPr>
        <w:spacing w:before="100" w:beforeAutospacing="1" w:after="100" w:afterAutospacing="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Many engineering programs are experimenting (some quite successfully) with online offerings of engineering coursework, both for local students who have time constraints and for students at a distance.  Rarely, however, do we see comparisons of student learning and student perception of the learning experience compared for the same </w:t>
      </w:r>
      <w:r w:rsidR="0088397B">
        <w:rPr>
          <w:rFonts w:ascii="Arial" w:eastAsia="Times New Roman" w:hAnsi="Arial" w:cs="Arial"/>
          <w:sz w:val="20"/>
          <w:szCs w:val="20"/>
          <w:lang w:eastAsia="en-GB"/>
        </w:rPr>
        <w:t xml:space="preserve">engineering </w:t>
      </w:r>
      <w:r>
        <w:rPr>
          <w:rFonts w:ascii="Arial" w:eastAsia="Times New Roman" w:hAnsi="Arial" w:cs="Arial"/>
          <w:sz w:val="20"/>
          <w:szCs w:val="20"/>
          <w:lang w:eastAsia="en-GB"/>
        </w:rPr>
        <w:t xml:space="preserve">course across the two environments.  At Montana State University in Bozeman, Montana, we recently had such an opportunity to compare two iterations of a required undergraduate course for electrical engineering student, Introduction to Logic Circuits.  The course was offered face-to-face in fall 2010 and online in spring 2011, using the same materials.  The materials were accompanied by an in-person lecture in fall 2010 and a recorded </w:t>
      </w:r>
      <w:proofErr w:type="spellStart"/>
      <w:r>
        <w:rPr>
          <w:rFonts w:ascii="Arial" w:eastAsia="Times New Roman" w:hAnsi="Arial" w:cs="Arial"/>
          <w:sz w:val="20"/>
          <w:szCs w:val="20"/>
          <w:lang w:eastAsia="en-GB"/>
        </w:rPr>
        <w:t>Camtasia</w:t>
      </w:r>
      <w:proofErr w:type="spellEnd"/>
      <w:r>
        <w:rPr>
          <w:rFonts w:ascii="Arial" w:eastAsia="Times New Roman" w:hAnsi="Arial" w:cs="Arial"/>
          <w:sz w:val="20"/>
          <w:szCs w:val="20"/>
          <w:lang w:eastAsia="en-GB"/>
        </w:rPr>
        <w:t xml:space="preserve"> Relay lecture spring 2011.  </w:t>
      </w:r>
    </w:p>
    <w:p w:rsidR="006F5609" w:rsidRPr="00D07C42" w:rsidRDefault="00AC11AC" w:rsidP="00D07C42">
      <w:pPr>
        <w:spacing w:before="100" w:beforeAutospacing="1" w:after="100" w:afterAutospacing="1"/>
        <w:jc w:val="both"/>
        <w:rPr>
          <w:rFonts w:ascii="Arial" w:eastAsia="Times New Roman" w:hAnsi="Arial" w:cs="Arial"/>
          <w:sz w:val="20"/>
          <w:szCs w:val="20"/>
          <w:lang w:eastAsia="en-GB"/>
        </w:rPr>
      </w:pPr>
      <w:r>
        <w:rPr>
          <w:rFonts w:ascii="Arial" w:eastAsia="Times New Roman" w:hAnsi="Arial" w:cs="Arial"/>
          <w:sz w:val="20"/>
          <w:szCs w:val="20"/>
          <w:lang w:eastAsia="en-GB"/>
        </w:rPr>
        <w:t>This paper reports a comparison of</w:t>
      </w:r>
      <w:r w:rsidR="006F5609">
        <w:rPr>
          <w:rFonts w:ascii="Arial" w:eastAsia="Times New Roman" w:hAnsi="Arial" w:cs="Arial"/>
          <w:sz w:val="20"/>
          <w:szCs w:val="20"/>
          <w:lang w:eastAsia="en-GB"/>
        </w:rPr>
        <w:t xml:space="preserve"> student performance on course quizzes, homework, exams</w:t>
      </w:r>
      <w:r w:rsidR="00C461AE">
        <w:rPr>
          <w:rFonts w:ascii="Arial" w:eastAsia="Times New Roman" w:hAnsi="Arial" w:cs="Arial"/>
          <w:sz w:val="20"/>
          <w:szCs w:val="20"/>
          <w:lang w:eastAsia="en-GB"/>
        </w:rPr>
        <w:t>, and final course grades</w:t>
      </w:r>
      <w:r w:rsidR="006F5609">
        <w:rPr>
          <w:rFonts w:ascii="Arial" w:eastAsia="Times New Roman" w:hAnsi="Arial" w:cs="Arial"/>
          <w:sz w:val="20"/>
          <w:szCs w:val="20"/>
          <w:lang w:eastAsia="en-GB"/>
        </w:rPr>
        <w:t xml:space="preserve"> fro</w:t>
      </w:r>
      <w:r w:rsidR="0088397B">
        <w:rPr>
          <w:rFonts w:ascii="Arial" w:eastAsia="Times New Roman" w:hAnsi="Arial" w:cs="Arial"/>
          <w:sz w:val="20"/>
          <w:szCs w:val="20"/>
          <w:lang w:eastAsia="en-GB"/>
        </w:rPr>
        <w:t>m both iterations of the course</w:t>
      </w:r>
      <w:r w:rsidR="006F5609">
        <w:rPr>
          <w:rFonts w:ascii="Arial" w:eastAsia="Times New Roman" w:hAnsi="Arial" w:cs="Arial"/>
          <w:sz w:val="20"/>
          <w:szCs w:val="20"/>
          <w:lang w:eastAsia="en-GB"/>
        </w:rPr>
        <w:t xml:space="preserve">.  </w:t>
      </w:r>
    </w:p>
    <w:p w:rsidR="006518EA" w:rsidRPr="005B01CC" w:rsidRDefault="00BF527A" w:rsidP="005B01CC">
      <w:pPr>
        <w:pStyle w:val="Section"/>
        <w:rPr>
          <w:rFonts w:cs="Arial"/>
          <w:sz w:val="24"/>
          <w:szCs w:val="24"/>
          <w:lang w:eastAsia="ko-KR"/>
        </w:rPr>
      </w:pPr>
      <w:r>
        <w:rPr>
          <w:rFonts w:cs="Arial"/>
          <w:sz w:val="24"/>
          <w:szCs w:val="24"/>
        </w:rPr>
        <w:t>2.</w:t>
      </w:r>
      <w:r>
        <w:rPr>
          <w:rFonts w:cs="Arial"/>
          <w:sz w:val="24"/>
          <w:szCs w:val="24"/>
        </w:rPr>
        <w:tab/>
      </w:r>
      <w:r w:rsidR="006518EA">
        <w:rPr>
          <w:rFonts w:cs="Arial"/>
          <w:sz w:val="24"/>
          <w:szCs w:val="24"/>
        </w:rPr>
        <w:t>Relevant Literature</w:t>
      </w:r>
    </w:p>
    <w:p w:rsidR="00AC6F08" w:rsidRDefault="006F5609" w:rsidP="0082614D">
      <w:pPr>
        <w:jc w:val="both"/>
        <w:rPr>
          <w:rFonts w:ascii="Arial" w:hAnsi="Arial" w:cs="Arial"/>
          <w:sz w:val="20"/>
          <w:szCs w:val="20"/>
        </w:rPr>
      </w:pPr>
      <w:r>
        <w:rPr>
          <w:rFonts w:ascii="Arial" w:hAnsi="Arial" w:cs="Arial"/>
          <w:sz w:val="20"/>
          <w:szCs w:val="20"/>
        </w:rPr>
        <w:t xml:space="preserve">The effectiveness of online instruction has been a topic of debate since the early days of distance learning.  </w:t>
      </w:r>
      <w:r w:rsidR="00D07C42">
        <w:rPr>
          <w:rFonts w:ascii="Arial" w:hAnsi="Arial" w:cs="Arial"/>
          <w:sz w:val="20"/>
          <w:szCs w:val="20"/>
        </w:rPr>
        <w:t xml:space="preserve">A recent U.S. Department of Education meta-analysis of 176 online learning studies </w:t>
      </w:r>
      <w:r w:rsidR="0082614D">
        <w:rPr>
          <w:rFonts w:ascii="Arial" w:hAnsi="Arial" w:cs="Arial"/>
          <w:sz w:val="20"/>
          <w:szCs w:val="20"/>
        </w:rPr>
        <w:t xml:space="preserve">drew several important conclusions relating to past evidence-based reports of online learning, </w:t>
      </w:r>
      <w:r w:rsidR="00694214">
        <w:rPr>
          <w:rFonts w:ascii="Arial" w:hAnsi="Arial" w:cs="Arial"/>
          <w:sz w:val="20"/>
          <w:szCs w:val="20"/>
        </w:rPr>
        <w:t>including</w:t>
      </w:r>
      <w:r w:rsidR="0082614D">
        <w:rPr>
          <w:rFonts w:ascii="Arial" w:hAnsi="Arial" w:cs="Arial"/>
          <w:sz w:val="20"/>
          <w:szCs w:val="20"/>
        </w:rPr>
        <w:t xml:space="preserve"> that, for older learners, “Students in online conditions performed modestly </w:t>
      </w:r>
      <w:r w:rsidR="0082614D">
        <w:rPr>
          <w:rFonts w:ascii="Arial" w:hAnsi="Arial" w:cs="Arial"/>
          <w:sz w:val="20"/>
          <w:szCs w:val="20"/>
        </w:rPr>
        <w:lastRenderedPageBreak/>
        <w:t>better, on average, than those learning the same material through traditional face-to-face instruction.”</w:t>
      </w:r>
      <w:r w:rsidR="0082614D">
        <w:rPr>
          <w:rStyle w:val="EndnoteReference"/>
          <w:rFonts w:ascii="Arial" w:hAnsi="Arial" w:cs="Arial"/>
          <w:sz w:val="20"/>
          <w:szCs w:val="20"/>
        </w:rPr>
        <w:endnoteReference w:id="1"/>
      </w:r>
      <w:r w:rsidR="0082614D">
        <w:rPr>
          <w:rFonts w:ascii="Arial" w:hAnsi="Arial" w:cs="Arial"/>
          <w:sz w:val="20"/>
          <w:szCs w:val="20"/>
        </w:rPr>
        <w:t xml:space="preserve">  However, </w:t>
      </w:r>
      <w:r w:rsidR="00D07C42">
        <w:rPr>
          <w:rFonts w:ascii="Arial" w:hAnsi="Arial" w:cs="Arial"/>
          <w:sz w:val="20"/>
          <w:szCs w:val="20"/>
        </w:rPr>
        <w:t>other researchers have</w:t>
      </w:r>
      <w:r w:rsidR="0082614D">
        <w:rPr>
          <w:rFonts w:ascii="Arial" w:hAnsi="Arial" w:cs="Arial"/>
          <w:sz w:val="20"/>
          <w:szCs w:val="20"/>
        </w:rPr>
        <w:t xml:space="preserve"> challenged these results on the basis that</w:t>
      </w:r>
      <w:r w:rsidR="00694214">
        <w:rPr>
          <w:rFonts w:ascii="Arial" w:hAnsi="Arial" w:cs="Arial"/>
          <w:sz w:val="20"/>
          <w:szCs w:val="20"/>
        </w:rPr>
        <w:t xml:space="preserve"> the findings in the analysis </w:t>
      </w:r>
      <w:r w:rsidR="00E414E8">
        <w:rPr>
          <w:rFonts w:ascii="Arial" w:hAnsi="Arial" w:cs="Arial"/>
          <w:sz w:val="20"/>
          <w:szCs w:val="20"/>
        </w:rPr>
        <w:t xml:space="preserve">do </w:t>
      </w:r>
      <w:r w:rsidR="00694214">
        <w:rPr>
          <w:rFonts w:ascii="Arial" w:hAnsi="Arial" w:cs="Arial"/>
          <w:sz w:val="20"/>
          <w:szCs w:val="20"/>
        </w:rPr>
        <w:t xml:space="preserve">“not </w:t>
      </w:r>
      <w:proofErr w:type="gramStart"/>
      <w:r w:rsidR="00694214">
        <w:rPr>
          <w:rFonts w:ascii="Arial" w:hAnsi="Arial" w:cs="Arial"/>
          <w:sz w:val="20"/>
          <w:szCs w:val="20"/>
        </w:rPr>
        <w:t>hold.</w:t>
      </w:r>
      <w:proofErr w:type="gramEnd"/>
      <w:r w:rsidR="00694214">
        <w:rPr>
          <w:rFonts w:ascii="Arial" w:hAnsi="Arial" w:cs="Arial"/>
          <w:sz w:val="20"/>
          <w:szCs w:val="20"/>
        </w:rPr>
        <w:t xml:space="preserve"> . .for the studies included in the meta-analysis that pertain to fully online, </w:t>
      </w:r>
      <w:r w:rsidR="002508A8">
        <w:rPr>
          <w:rFonts w:ascii="Arial" w:hAnsi="Arial" w:cs="Arial"/>
          <w:sz w:val="20"/>
          <w:szCs w:val="20"/>
        </w:rPr>
        <w:t>semester-length college courses.</w:t>
      </w:r>
      <w:r w:rsidR="00694214">
        <w:rPr>
          <w:rFonts w:ascii="Arial" w:hAnsi="Arial" w:cs="Arial"/>
          <w:sz w:val="20"/>
          <w:szCs w:val="20"/>
        </w:rPr>
        <w:t>”</w:t>
      </w:r>
      <w:r w:rsidR="00694214">
        <w:rPr>
          <w:rStyle w:val="EndnoteReference"/>
          <w:rFonts w:ascii="Arial" w:hAnsi="Arial" w:cs="Arial"/>
          <w:sz w:val="20"/>
          <w:szCs w:val="20"/>
        </w:rPr>
        <w:endnoteReference w:id="2"/>
      </w:r>
      <w:r w:rsidR="0088397B">
        <w:rPr>
          <w:rFonts w:ascii="Arial" w:hAnsi="Arial" w:cs="Arial"/>
          <w:sz w:val="20"/>
          <w:szCs w:val="20"/>
        </w:rPr>
        <w:t xml:space="preserve">  In fact, these researchers</w:t>
      </w:r>
      <w:r w:rsidR="00694214">
        <w:rPr>
          <w:rFonts w:ascii="Arial" w:hAnsi="Arial" w:cs="Arial"/>
          <w:sz w:val="20"/>
          <w:szCs w:val="20"/>
        </w:rPr>
        <w:t xml:space="preserve"> found that for the seven studies in the U.S. Department of Education meta-analysis that related to full-semester college courses, there was no evidence of an advantage or disadvantage to the on-line learning environment</w:t>
      </w:r>
      <w:r w:rsidR="002508A8">
        <w:rPr>
          <w:rFonts w:ascii="Arial" w:hAnsi="Arial" w:cs="Arial"/>
          <w:sz w:val="20"/>
          <w:szCs w:val="20"/>
        </w:rPr>
        <w:t>.</w:t>
      </w:r>
      <w:r w:rsidR="002508A8">
        <w:rPr>
          <w:rStyle w:val="EndnoteReference"/>
          <w:rFonts w:ascii="Arial" w:hAnsi="Arial" w:cs="Arial"/>
          <w:sz w:val="20"/>
          <w:szCs w:val="20"/>
        </w:rPr>
        <w:endnoteReference w:id="3"/>
      </w:r>
      <w:r w:rsidR="002508A8">
        <w:rPr>
          <w:rFonts w:ascii="Arial" w:hAnsi="Arial" w:cs="Arial"/>
          <w:sz w:val="20"/>
          <w:szCs w:val="20"/>
        </w:rPr>
        <w:t xml:space="preserve">  Adding to the inconclusiveness of the evidence for or against gains for online learning is a recent working paper from the National Bureau of Economic Research.  This paper describes an experimental study that randomly assigned students in a large introductory microeconomics course to either a face-to-face or an online iteration of the same course.  The study showed “modest evidence that live-only instruction dominates internet instruction.  These results are particularly strong for Hispanic students, male students, and lower-achieving students.”</w:t>
      </w:r>
      <w:r w:rsidR="002508A8">
        <w:rPr>
          <w:rStyle w:val="EndnoteReference"/>
          <w:rFonts w:ascii="Arial" w:hAnsi="Arial" w:cs="Arial"/>
          <w:sz w:val="20"/>
          <w:szCs w:val="20"/>
        </w:rPr>
        <w:endnoteReference w:id="4"/>
      </w:r>
    </w:p>
    <w:p w:rsidR="0082614D" w:rsidRDefault="0082614D" w:rsidP="0082614D">
      <w:pPr>
        <w:jc w:val="both"/>
        <w:rPr>
          <w:rFonts w:ascii="Arial" w:hAnsi="Arial" w:cs="Arial"/>
          <w:sz w:val="20"/>
          <w:szCs w:val="20"/>
        </w:rPr>
      </w:pPr>
    </w:p>
    <w:p w:rsidR="0082614D" w:rsidRPr="00CC66D2" w:rsidRDefault="00C64493" w:rsidP="0082614D">
      <w:pPr>
        <w:jc w:val="both"/>
        <w:rPr>
          <w:rFonts w:ascii="Arial" w:hAnsi="Arial" w:cs="Arial"/>
          <w:sz w:val="20"/>
          <w:szCs w:val="20"/>
        </w:rPr>
      </w:pPr>
      <w:r>
        <w:rPr>
          <w:rFonts w:ascii="Arial" w:hAnsi="Arial" w:cs="Arial"/>
          <w:sz w:val="20"/>
          <w:szCs w:val="20"/>
        </w:rPr>
        <w:t xml:space="preserve">Clearly, there is no strong </w:t>
      </w:r>
      <w:r w:rsidR="0088397B">
        <w:rPr>
          <w:rFonts w:ascii="Arial" w:hAnsi="Arial" w:cs="Arial"/>
          <w:sz w:val="20"/>
          <w:szCs w:val="20"/>
        </w:rPr>
        <w:t xml:space="preserve">and consistent </w:t>
      </w:r>
      <w:r>
        <w:rPr>
          <w:rFonts w:ascii="Arial" w:hAnsi="Arial" w:cs="Arial"/>
          <w:sz w:val="20"/>
          <w:szCs w:val="20"/>
        </w:rPr>
        <w:t>evidence for the superiority of either instructional mode when used exclusively.  However, the U.S. Department of Education meta-analysis found relatively strong evidence that “Instruction combining online and face-to-face elements had a larger advantage relative to purely face-to-face instruction than did purely online instruction.”</w:t>
      </w:r>
      <w:r>
        <w:rPr>
          <w:rStyle w:val="EndnoteReference"/>
          <w:rFonts w:ascii="Arial" w:hAnsi="Arial" w:cs="Arial"/>
          <w:sz w:val="20"/>
          <w:szCs w:val="20"/>
        </w:rPr>
        <w:endnoteReference w:id="5"/>
      </w:r>
    </w:p>
    <w:p w:rsidR="000D4941" w:rsidRDefault="000D4941" w:rsidP="00AC6F08">
      <w:pPr>
        <w:jc w:val="both"/>
        <w:rPr>
          <w:rFonts w:ascii="Arial" w:hAnsi="Arial" w:cs="Arial"/>
          <w:sz w:val="20"/>
          <w:szCs w:val="20"/>
          <w:lang w:eastAsia="ko-KR"/>
        </w:rPr>
      </w:pPr>
    </w:p>
    <w:p w:rsidR="007E507C" w:rsidRDefault="00C64493" w:rsidP="00AC6F08">
      <w:pPr>
        <w:jc w:val="both"/>
        <w:rPr>
          <w:rFonts w:ascii="Arial" w:hAnsi="Arial" w:cs="Arial"/>
          <w:sz w:val="20"/>
          <w:szCs w:val="20"/>
          <w:lang w:eastAsia="ko-KR"/>
        </w:rPr>
      </w:pPr>
      <w:r>
        <w:rPr>
          <w:rFonts w:ascii="Arial" w:hAnsi="Arial" w:cs="Arial"/>
          <w:sz w:val="20"/>
          <w:szCs w:val="20"/>
          <w:lang w:eastAsia="ko-KR"/>
        </w:rPr>
        <w:t xml:space="preserve">The studies discussed so far were based on student learning at many different levels and a broad range of disciplines.  </w:t>
      </w:r>
      <w:r w:rsidR="00065824">
        <w:rPr>
          <w:rFonts w:ascii="Arial" w:hAnsi="Arial" w:cs="Arial"/>
          <w:sz w:val="20"/>
          <w:szCs w:val="20"/>
          <w:lang w:eastAsia="ko-KR"/>
        </w:rPr>
        <w:t>A recent study of student perceptions of online learning at a polytechnic university included a fairly large number of engineering and technology students (as well as other students) in a survey of more than 300 students.  Their results showed no significant differences in responses from students in engineering and technology majors than students in other majors.  This study did not relate to actual learning in online courses, but results showed that students were less comfortable taking a quantitative-oriented course online than they were a qualitative-oriented course.  Students also reported that they would be apprehensive about taking a lab-based course online.</w:t>
      </w:r>
      <w:r w:rsidR="00065824">
        <w:rPr>
          <w:rStyle w:val="EndnoteReference"/>
          <w:rFonts w:ascii="Arial" w:hAnsi="Arial" w:cs="Arial"/>
          <w:sz w:val="20"/>
          <w:szCs w:val="20"/>
          <w:lang w:eastAsia="ko-KR"/>
        </w:rPr>
        <w:endnoteReference w:id="6"/>
      </w:r>
    </w:p>
    <w:p w:rsidR="006F5609" w:rsidRDefault="006F5609" w:rsidP="00AC6F08">
      <w:pPr>
        <w:jc w:val="both"/>
        <w:rPr>
          <w:rFonts w:ascii="Arial" w:hAnsi="Arial" w:cs="Arial"/>
          <w:sz w:val="20"/>
          <w:szCs w:val="20"/>
          <w:lang w:eastAsia="ko-KR"/>
        </w:rPr>
      </w:pPr>
    </w:p>
    <w:p w:rsidR="006F5609" w:rsidRDefault="006F5609" w:rsidP="00AC6F08">
      <w:pPr>
        <w:jc w:val="both"/>
        <w:rPr>
          <w:rFonts w:ascii="Arial" w:hAnsi="Arial" w:cs="Arial"/>
          <w:sz w:val="20"/>
          <w:szCs w:val="20"/>
          <w:lang w:eastAsia="ko-KR"/>
        </w:rPr>
      </w:pPr>
      <w:r>
        <w:rPr>
          <w:rFonts w:ascii="Arial" w:hAnsi="Arial" w:cs="Arial"/>
          <w:sz w:val="20"/>
          <w:szCs w:val="20"/>
          <w:lang w:eastAsia="ko-KR"/>
        </w:rPr>
        <w:t xml:space="preserve">A study comparing performance of engineering graduate students in online and face-to-face versions of the same program (a set of courses) showed that the online students, in general, performed similarly to the face-to-face students; however, the range of performance of the online students was greater:  “The top three quartiles of AL [online] students. . .had </w:t>
      </w:r>
      <w:r w:rsidR="00C62DAB">
        <w:rPr>
          <w:rFonts w:ascii="Arial" w:hAnsi="Arial" w:cs="Arial"/>
          <w:sz w:val="20"/>
          <w:szCs w:val="20"/>
          <w:lang w:eastAsia="ko-KR"/>
        </w:rPr>
        <w:t xml:space="preserve">[an] </w:t>
      </w:r>
      <w:r>
        <w:rPr>
          <w:rFonts w:ascii="Arial" w:hAnsi="Arial" w:cs="Arial"/>
          <w:sz w:val="20"/>
          <w:szCs w:val="20"/>
          <w:lang w:eastAsia="ko-KR"/>
        </w:rPr>
        <w:t>almo</w:t>
      </w:r>
      <w:r w:rsidR="00C62DAB">
        <w:rPr>
          <w:rFonts w:ascii="Arial" w:hAnsi="Arial" w:cs="Arial"/>
          <w:sz w:val="20"/>
          <w:szCs w:val="20"/>
          <w:lang w:eastAsia="ko-KR"/>
        </w:rPr>
        <w:t>s</w:t>
      </w:r>
      <w:r>
        <w:rPr>
          <w:rFonts w:ascii="Arial" w:hAnsi="Arial" w:cs="Arial"/>
          <w:sz w:val="20"/>
          <w:szCs w:val="20"/>
          <w:lang w:eastAsia="ko-KR"/>
        </w:rPr>
        <w:t>t equal learning experience with their counterparts [on campus], but the last quartile of AL students struggled more than the campus students.”</w:t>
      </w:r>
      <w:r>
        <w:rPr>
          <w:rStyle w:val="EndnoteReference"/>
          <w:rFonts w:ascii="Arial" w:hAnsi="Arial" w:cs="Arial"/>
          <w:sz w:val="20"/>
          <w:szCs w:val="20"/>
          <w:lang w:eastAsia="ko-KR"/>
        </w:rPr>
        <w:endnoteReference w:id="7"/>
      </w:r>
      <w:r w:rsidR="00C62DAB">
        <w:rPr>
          <w:rFonts w:ascii="Arial" w:hAnsi="Arial" w:cs="Arial"/>
          <w:sz w:val="20"/>
          <w:szCs w:val="20"/>
          <w:lang w:eastAsia="ko-KR"/>
        </w:rPr>
        <w:t xml:space="preserve">  The researchers also reported that the instructor spent more time per student with the online students than with the face-to-face students.  The students in the two versions of the programs showed no significant differences entering the program, being similar in academic background and years since graduation.</w:t>
      </w:r>
    </w:p>
    <w:p w:rsidR="00C62DAB" w:rsidRDefault="00C62DAB" w:rsidP="00AC6F08">
      <w:pPr>
        <w:jc w:val="both"/>
        <w:rPr>
          <w:rFonts w:ascii="Arial" w:hAnsi="Arial" w:cs="Arial"/>
          <w:sz w:val="20"/>
          <w:szCs w:val="20"/>
          <w:lang w:eastAsia="ko-KR"/>
        </w:rPr>
      </w:pPr>
    </w:p>
    <w:p w:rsidR="00C62DAB" w:rsidRDefault="00C62DAB" w:rsidP="00AC6F08">
      <w:pPr>
        <w:jc w:val="both"/>
        <w:rPr>
          <w:rFonts w:ascii="Arial" w:hAnsi="Arial" w:cs="Arial"/>
          <w:sz w:val="20"/>
          <w:szCs w:val="20"/>
          <w:lang w:eastAsia="ko-KR"/>
        </w:rPr>
      </w:pPr>
      <w:r>
        <w:rPr>
          <w:rFonts w:ascii="Arial" w:hAnsi="Arial" w:cs="Arial"/>
          <w:sz w:val="20"/>
          <w:szCs w:val="20"/>
          <w:lang w:eastAsia="ko-KR"/>
        </w:rPr>
        <w:t>A study at the New Jersey Institute of Technology looked at 150</w:t>
      </w:r>
      <w:r w:rsidR="006C6FC4">
        <w:rPr>
          <w:rFonts w:ascii="Arial" w:hAnsi="Arial" w:cs="Arial"/>
          <w:sz w:val="20"/>
          <w:szCs w:val="20"/>
          <w:lang w:eastAsia="ko-KR"/>
        </w:rPr>
        <w:t xml:space="preserve"> courses, 3,491 students, and 7,</w:t>
      </w:r>
      <w:r>
        <w:rPr>
          <w:rFonts w:ascii="Arial" w:hAnsi="Arial" w:cs="Arial"/>
          <w:sz w:val="20"/>
          <w:szCs w:val="20"/>
          <w:lang w:eastAsia="ko-KR"/>
        </w:rPr>
        <w:t>701 course enrollments during fall 2003 and spring 2004.  Approximately 20% of the course enrollment</w:t>
      </w:r>
      <w:r w:rsidR="006C6FC4">
        <w:rPr>
          <w:rFonts w:ascii="Arial" w:hAnsi="Arial" w:cs="Arial"/>
          <w:sz w:val="20"/>
          <w:szCs w:val="20"/>
          <w:lang w:eastAsia="ko-KR"/>
        </w:rPr>
        <w:t xml:space="preserve">s were in online offerings; </w:t>
      </w:r>
      <w:r>
        <w:rPr>
          <w:rFonts w:ascii="Arial" w:hAnsi="Arial" w:cs="Arial"/>
          <w:sz w:val="20"/>
          <w:szCs w:val="20"/>
          <w:lang w:eastAsia="ko-KR"/>
        </w:rPr>
        <w:t xml:space="preserve">the </w:t>
      </w:r>
      <w:proofErr w:type="gramStart"/>
      <w:r>
        <w:rPr>
          <w:rFonts w:ascii="Arial" w:hAnsi="Arial" w:cs="Arial"/>
          <w:sz w:val="20"/>
          <w:szCs w:val="20"/>
          <w:lang w:eastAsia="ko-KR"/>
        </w:rPr>
        <w:t>remainder of the enrollments in face-to-face courses were</w:t>
      </w:r>
      <w:proofErr w:type="gramEnd"/>
      <w:r>
        <w:rPr>
          <w:rFonts w:ascii="Arial" w:hAnsi="Arial" w:cs="Arial"/>
          <w:sz w:val="20"/>
          <w:szCs w:val="20"/>
          <w:lang w:eastAsia="ko-KR"/>
        </w:rPr>
        <w:t xml:space="preserve"> used as a control.  </w:t>
      </w:r>
      <w:r w:rsidR="006C6FC4">
        <w:rPr>
          <w:rFonts w:ascii="Arial" w:hAnsi="Arial" w:cs="Arial"/>
          <w:sz w:val="20"/>
          <w:szCs w:val="20"/>
          <w:lang w:eastAsia="ko-KR"/>
        </w:rPr>
        <w:t xml:space="preserve">These researchers found that student performance </w:t>
      </w:r>
      <w:r w:rsidR="0088397B">
        <w:rPr>
          <w:rFonts w:ascii="Arial" w:hAnsi="Arial" w:cs="Arial"/>
          <w:sz w:val="20"/>
          <w:szCs w:val="20"/>
          <w:lang w:eastAsia="ko-KR"/>
        </w:rPr>
        <w:t xml:space="preserve">for the online offerings </w:t>
      </w:r>
      <w:r w:rsidR="006C6FC4">
        <w:rPr>
          <w:rFonts w:ascii="Arial" w:hAnsi="Arial" w:cs="Arial"/>
          <w:sz w:val="20"/>
          <w:szCs w:val="20"/>
          <w:lang w:eastAsia="ko-KR"/>
        </w:rPr>
        <w:t>“as measured by course grades, was significantly higher than for face-to-face courses.”</w:t>
      </w:r>
      <w:r w:rsidR="006C6FC4">
        <w:rPr>
          <w:rStyle w:val="EndnoteReference"/>
          <w:rFonts w:ascii="Arial" w:hAnsi="Arial" w:cs="Arial"/>
          <w:sz w:val="20"/>
          <w:szCs w:val="20"/>
          <w:lang w:eastAsia="ko-KR"/>
        </w:rPr>
        <w:endnoteReference w:id="8"/>
      </w:r>
      <w:r w:rsidR="006C6FC4">
        <w:rPr>
          <w:rFonts w:ascii="Arial" w:hAnsi="Arial" w:cs="Arial"/>
          <w:sz w:val="20"/>
          <w:szCs w:val="20"/>
          <w:lang w:eastAsia="ko-KR"/>
        </w:rPr>
        <w:t xml:space="preserve">  This is an interesting result, considering the online learning group’s combined average SAT scores were not as high as the face-to-face students.  As in the previously discussed study of graduate students, no differences were found between enrollees in engineering courses and those in non-engineering courses.  </w:t>
      </w:r>
    </w:p>
    <w:p w:rsidR="006C6FC4" w:rsidRDefault="006C6FC4" w:rsidP="00AC6F08">
      <w:pPr>
        <w:jc w:val="both"/>
        <w:rPr>
          <w:rFonts w:ascii="Arial" w:hAnsi="Arial" w:cs="Arial"/>
          <w:sz w:val="20"/>
          <w:szCs w:val="20"/>
          <w:lang w:eastAsia="ko-KR"/>
        </w:rPr>
      </w:pPr>
    </w:p>
    <w:p w:rsidR="00C6061C" w:rsidRDefault="00542703" w:rsidP="00AC6F08">
      <w:pPr>
        <w:jc w:val="both"/>
        <w:rPr>
          <w:rFonts w:ascii="Arial" w:hAnsi="Arial" w:cs="Arial"/>
          <w:sz w:val="20"/>
          <w:szCs w:val="20"/>
          <w:lang w:eastAsia="ko-KR"/>
        </w:rPr>
      </w:pPr>
      <w:r>
        <w:rPr>
          <w:rFonts w:ascii="Arial" w:hAnsi="Arial" w:cs="Arial"/>
          <w:sz w:val="20"/>
          <w:szCs w:val="20"/>
          <w:lang w:eastAsia="ko-KR"/>
        </w:rPr>
        <w:t xml:space="preserve">Another study compared student performance among four different deliveries of an engineering graphics course.  One version of the course was face-to-face (14 students), one was synchronous distance education using </w:t>
      </w:r>
      <w:proofErr w:type="spellStart"/>
      <w:r>
        <w:rPr>
          <w:rFonts w:ascii="Arial" w:hAnsi="Arial" w:cs="Arial"/>
          <w:sz w:val="20"/>
          <w:szCs w:val="20"/>
          <w:lang w:eastAsia="ko-KR"/>
        </w:rPr>
        <w:t>audiographics</w:t>
      </w:r>
      <w:proofErr w:type="spellEnd"/>
      <w:r>
        <w:rPr>
          <w:rFonts w:ascii="Arial" w:hAnsi="Arial" w:cs="Arial"/>
          <w:sz w:val="20"/>
          <w:szCs w:val="20"/>
          <w:lang w:eastAsia="ko-KR"/>
        </w:rPr>
        <w:t xml:space="preserve"> technology (20 students), a third was a hybrid of face-to-face with asynchronous (23 students), and the fourth was synchronous online instruction (10 students).  The same instructor taught all versions of the course.  To determine if there were differences in performance among the four groups of students, all students took a post</w:t>
      </w:r>
      <w:r w:rsidR="00FC3E53">
        <w:rPr>
          <w:rFonts w:ascii="Arial" w:hAnsi="Arial" w:cs="Arial"/>
          <w:sz w:val="20"/>
          <w:szCs w:val="20"/>
          <w:lang w:eastAsia="ko-KR"/>
        </w:rPr>
        <w:t>-</w:t>
      </w:r>
      <w:r>
        <w:rPr>
          <w:rFonts w:ascii="Arial" w:hAnsi="Arial" w:cs="Arial"/>
          <w:sz w:val="20"/>
          <w:szCs w:val="20"/>
          <w:lang w:eastAsia="ko-KR"/>
        </w:rPr>
        <w:t>test of engineering graphics concepts.  The results showed no significant difference in post</w:t>
      </w:r>
      <w:r w:rsidR="00FC3E53">
        <w:rPr>
          <w:rFonts w:ascii="Arial" w:hAnsi="Arial" w:cs="Arial"/>
          <w:sz w:val="20"/>
          <w:szCs w:val="20"/>
          <w:lang w:eastAsia="ko-KR"/>
        </w:rPr>
        <w:t>-</w:t>
      </w:r>
      <w:r>
        <w:rPr>
          <w:rFonts w:ascii="Arial" w:hAnsi="Arial" w:cs="Arial"/>
          <w:sz w:val="20"/>
          <w:szCs w:val="20"/>
          <w:lang w:eastAsia="ko-KR"/>
        </w:rPr>
        <w:t>test scores of the four different groups.</w:t>
      </w:r>
      <w:r>
        <w:rPr>
          <w:rStyle w:val="EndnoteReference"/>
          <w:rFonts w:ascii="Arial" w:hAnsi="Arial" w:cs="Arial"/>
          <w:sz w:val="20"/>
          <w:szCs w:val="20"/>
          <w:lang w:eastAsia="ko-KR"/>
        </w:rPr>
        <w:endnoteReference w:id="9"/>
      </w:r>
    </w:p>
    <w:p w:rsidR="00C6061C" w:rsidRDefault="00C6061C" w:rsidP="00AC6F08">
      <w:pPr>
        <w:jc w:val="both"/>
        <w:rPr>
          <w:rFonts w:ascii="Arial" w:hAnsi="Arial" w:cs="Arial"/>
          <w:sz w:val="20"/>
          <w:szCs w:val="20"/>
          <w:lang w:eastAsia="ko-KR"/>
        </w:rPr>
      </w:pPr>
      <w:r>
        <w:rPr>
          <w:rFonts w:ascii="Arial" w:hAnsi="Arial" w:cs="Arial"/>
          <w:sz w:val="20"/>
          <w:szCs w:val="20"/>
          <w:lang w:eastAsia="ko-KR"/>
        </w:rPr>
        <w:lastRenderedPageBreak/>
        <w:t xml:space="preserve">A study comparing the performance in two versions of a sophomore-level Circuits Analysis course (one face-to-face and one online, delivered via a combination of Tablet PC and </w:t>
      </w:r>
      <w:proofErr w:type="spellStart"/>
      <w:r>
        <w:rPr>
          <w:rFonts w:ascii="Arial" w:hAnsi="Arial" w:cs="Arial"/>
          <w:sz w:val="20"/>
          <w:szCs w:val="20"/>
          <w:lang w:eastAsia="ko-KR"/>
        </w:rPr>
        <w:t>Elluminate</w:t>
      </w:r>
      <w:proofErr w:type="spellEnd"/>
      <w:r>
        <w:rPr>
          <w:rFonts w:ascii="Arial" w:hAnsi="Arial" w:cs="Arial"/>
          <w:sz w:val="20"/>
          <w:szCs w:val="20"/>
          <w:lang w:eastAsia="ko-KR"/>
        </w:rPr>
        <w:t xml:space="preserve"> Live! Software) showed that the performance of the students in the two groups showed no significant difference.</w:t>
      </w:r>
      <w:r>
        <w:rPr>
          <w:rStyle w:val="EndnoteReference"/>
          <w:rFonts w:ascii="Arial" w:hAnsi="Arial" w:cs="Arial"/>
          <w:sz w:val="20"/>
          <w:szCs w:val="20"/>
          <w:lang w:eastAsia="ko-KR"/>
        </w:rPr>
        <w:endnoteReference w:id="10"/>
      </w:r>
    </w:p>
    <w:p w:rsidR="00383C7C" w:rsidRDefault="00383C7C" w:rsidP="00AC6F08">
      <w:pPr>
        <w:jc w:val="both"/>
        <w:rPr>
          <w:rFonts w:ascii="Arial" w:hAnsi="Arial" w:cs="Arial"/>
          <w:sz w:val="20"/>
          <w:szCs w:val="20"/>
          <w:lang w:eastAsia="ko-KR"/>
        </w:rPr>
      </w:pPr>
    </w:p>
    <w:p w:rsidR="00C461AE" w:rsidRDefault="00383C7C" w:rsidP="00C461AE">
      <w:pPr>
        <w:spacing w:after="100" w:afterAutospacing="1"/>
        <w:jc w:val="both"/>
        <w:rPr>
          <w:rFonts w:ascii="Arial" w:hAnsi="Arial" w:cs="Arial"/>
          <w:sz w:val="20"/>
          <w:szCs w:val="20"/>
          <w:lang w:eastAsia="ko-KR"/>
        </w:rPr>
      </w:pPr>
      <w:r>
        <w:rPr>
          <w:rFonts w:ascii="Arial" w:hAnsi="Arial" w:cs="Arial"/>
          <w:sz w:val="20"/>
          <w:szCs w:val="20"/>
          <w:lang w:eastAsia="ko-KR"/>
        </w:rPr>
        <w:t>Thus, there is no definitive evidence that online learning delivery methods are naturally better or worse than face-to-face delivery of the same content.  More explorations using engineering content will help to add useful information for engineering education practitioners.</w:t>
      </w:r>
    </w:p>
    <w:p w:rsidR="00C461AE" w:rsidRPr="005B01CC" w:rsidRDefault="00874EA6" w:rsidP="00C461AE">
      <w:pPr>
        <w:pStyle w:val="Section"/>
        <w:rPr>
          <w:rFonts w:cs="Arial"/>
          <w:sz w:val="24"/>
          <w:szCs w:val="24"/>
          <w:lang w:eastAsia="ko-KR"/>
        </w:rPr>
      </w:pPr>
      <w:r>
        <w:rPr>
          <w:rFonts w:cs="Arial"/>
          <w:sz w:val="24"/>
          <w:szCs w:val="24"/>
        </w:rPr>
        <w:t>3</w:t>
      </w:r>
      <w:r w:rsidR="00C461AE">
        <w:rPr>
          <w:rFonts w:cs="Arial"/>
          <w:sz w:val="24"/>
          <w:szCs w:val="24"/>
        </w:rPr>
        <w:t>.</w:t>
      </w:r>
      <w:r w:rsidR="00C461AE">
        <w:rPr>
          <w:rFonts w:cs="Arial"/>
          <w:sz w:val="24"/>
          <w:szCs w:val="24"/>
        </w:rPr>
        <w:tab/>
        <w:t>Description of the Context</w:t>
      </w:r>
    </w:p>
    <w:p w:rsidR="00C461AE" w:rsidRDefault="004B0D4D" w:rsidP="00C461AE">
      <w:pPr>
        <w:spacing w:after="100" w:afterAutospacing="1"/>
        <w:jc w:val="both"/>
        <w:rPr>
          <w:rFonts w:ascii="Arial" w:hAnsi="Arial" w:cs="Arial"/>
          <w:sz w:val="20"/>
        </w:rPr>
      </w:pPr>
      <w:r w:rsidRPr="00C461AE">
        <w:rPr>
          <w:rFonts w:ascii="Arial" w:hAnsi="Arial" w:cs="Arial"/>
          <w:sz w:val="20"/>
        </w:rPr>
        <w:t>EE261 - Introduction to</w:t>
      </w:r>
      <w:r w:rsidR="0088397B" w:rsidRPr="00C461AE">
        <w:rPr>
          <w:rFonts w:ascii="Arial" w:hAnsi="Arial" w:cs="Arial"/>
          <w:sz w:val="20"/>
        </w:rPr>
        <w:t xml:space="preserve"> Logic </w:t>
      </w:r>
      <w:proofErr w:type="gramStart"/>
      <w:r w:rsidR="0088397B" w:rsidRPr="00C461AE">
        <w:rPr>
          <w:rFonts w:ascii="Arial" w:hAnsi="Arial" w:cs="Arial"/>
          <w:sz w:val="20"/>
        </w:rPr>
        <w:t>Circuits,</w:t>
      </w:r>
      <w:proofErr w:type="gramEnd"/>
      <w:r w:rsidR="0088397B" w:rsidRPr="00C461AE">
        <w:rPr>
          <w:rFonts w:ascii="Arial" w:hAnsi="Arial" w:cs="Arial"/>
          <w:sz w:val="20"/>
        </w:rPr>
        <w:t xml:space="preserve"> is a sophomore-</w:t>
      </w:r>
      <w:r w:rsidRPr="00C461AE">
        <w:rPr>
          <w:rFonts w:ascii="Arial" w:hAnsi="Arial" w:cs="Arial"/>
          <w:sz w:val="20"/>
        </w:rPr>
        <w:t>level engineering course that is required of all electrical and computer engineering students at Montana State</w:t>
      </w:r>
      <w:r w:rsidR="0088397B" w:rsidRPr="00C461AE">
        <w:rPr>
          <w:rFonts w:ascii="Arial" w:hAnsi="Arial" w:cs="Arial"/>
          <w:sz w:val="20"/>
        </w:rPr>
        <w:t xml:space="preserve"> University</w:t>
      </w:r>
      <w:r w:rsidRPr="00C461AE">
        <w:rPr>
          <w:rFonts w:ascii="Arial" w:hAnsi="Arial" w:cs="Arial"/>
          <w:sz w:val="20"/>
        </w:rPr>
        <w:t>.  This course is also taken as an elective by computer science student</w:t>
      </w:r>
      <w:r w:rsidR="0088397B" w:rsidRPr="00C461AE">
        <w:rPr>
          <w:rFonts w:ascii="Arial" w:hAnsi="Arial" w:cs="Arial"/>
          <w:sz w:val="20"/>
        </w:rPr>
        <w:t>s</w:t>
      </w:r>
      <w:r w:rsidRPr="00C461AE">
        <w:rPr>
          <w:rFonts w:ascii="Arial" w:hAnsi="Arial" w:cs="Arial"/>
          <w:sz w:val="20"/>
        </w:rPr>
        <w:t xml:space="preserve"> and often</w:t>
      </w:r>
      <w:r w:rsidR="0088397B" w:rsidRPr="00C461AE">
        <w:rPr>
          <w:rFonts w:ascii="Arial" w:hAnsi="Arial" w:cs="Arial"/>
          <w:sz w:val="20"/>
        </w:rPr>
        <w:t xml:space="preserve"> other engineering majors.  The</w:t>
      </w:r>
      <w:r w:rsidRPr="00C461AE">
        <w:rPr>
          <w:rFonts w:ascii="Arial" w:hAnsi="Arial" w:cs="Arial"/>
          <w:sz w:val="20"/>
        </w:rPr>
        <w:t xml:space="preserve"> course is offered every semester </w:t>
      </w:r>
      <w:r w:rsidR="0088397B" w:rsidRPr="00C461AE">
        <w:rPr>
          <w:rFonts w:ascii="Arial" w:hAnsi="Arial" w:cs="Arial"/>
          <w:sz w:val="20"/>
        </w:rPr>
        <w:t>and is scheduled to follow a 16-</w:t>
      </w:r>
      <w:r w:rsidRPr="00C461AE">
        <w:rPr>
          <w:rFonts w:ascii="Arial" w:hAnsi="Arial" w:cs="Arial"/>
          <w:sz w:val="20"/>
        </w:rPr>
        <w:t xml:space="preserve">week term. </w:t>
      </w:r>
      <w:proofErr w:type="spellStart"/>
      <w:r w:rsidR="002743B1" w:rsidRPr="00C461AE">
        <w:rPr>
          <w:rFonts w:ascii="Arial" w:hAnsi="Arial" w:cs="Arial"/>
          <w:sz w:val="20"/>
        </w:rPr>
        <w:t>Enrol</w:t>
      </w:r>
      <w:r w:rsidR="0088397B" w:rsidRPr="00C461AE">
        <w:rPr>
          <w:rFonts w:ascii="Arial" w:hAnsi="Arial" w:cs="Arial"/>
          <w:sz w:val="20"/>
        </w:rPr>
        <w:t>l</w:t>
      </w:r>
      <w:r w:rsidR="002743B1" w:rsidRPr="00C461AE">
        <w:rPr>
          <w:rFonts w:ascii="Arial" w:hAnsi="Arial" w:cs="Arial"/>
          <w:sz w:val="20"/>
        </w:rPr>
        <w:t>ments</w:t>
      </w:r>
      <w:proofErr w:type="spellEnd"/>
      <w:r w:rsidRPr="00C461AE">
        <w:rPr>
          <w:rFonts w:ascii="Arial" w:hAnsi="Arial" w:cs="Arial"/>
          <w:sz w:val="20"/>
        </w:rPr>
        <w:t xml:space="preserve"> are typically b</w:t>
      </w:r>
      <w:r w:rsidR="0088397B" w:rsidRPr="00C461AE">
        <w:rPr>
          <w:rFonts w:ascii="Arial" w:hAnsi="Arial" w:cs="Arial"/>
          <w:sz w:val="20"/>
        </w:rPr>
        <w:t xml:space="preserve">etween 30-40 students of which about </w:t>
      </w:r>
      <w:r w:rsidRPr="00C461AE">
        <w:rPr>
          <w:rFonts w:ascii="Arial" w:hAnsi="Arial" w:cs="Arial"/>
          <w:sz w:val="20"/>
        </w:rPr>
        <w:t>60% are electrical engineers, 30% are computer engineers, 5% are computer science, and the rest are from various other technical majors with the most common being physics and mechanical engineering.</w:t>
      </w:r>
    </w:p>
    <w:p w:rsidR="00C461AE" w:rsidRDefault="004B0D4D" w:rsidP="00C461AE">
      <w:pPr>
        <w:spacing w:after="100" w:afterAutospacing="1"/>
        <w:jc w:val="both"/>
        <w:rPr>
          <w:rFonts w:ascii="Arial" w:hAnsi="Arial" w:cs="Arial"/>
          <w:sz w:val="20"/>
        </w:rPr>
      </w:pPr>
      <w:r w:rsidRPr="00C461AE">
        <w:rPr>
          <w:rFonts w:ascii="Arial" w:hAnsi="Arial" w:cs="Arial"/>
          <w:sz w:val="20"/>
        </w:rPr>
        <w:t xml:space="preserve">EE261 is an introductory course and requires only algebra as a prerequisite.  </w:t>
      </w:r>
      <w:r w:rsidR="00DC3B9A" w:rsidRPr="00C461AE">
        <w:rPr>
          <w:rFonts w:ascii="Arial" w:hAnsi="Arial" w:cs="Arial"/>
          <w:sz w:val="20"/>
        </w:rPr>
        <w:t>It</w:t>
      </w:r>
      <w:r w:rsidRPr="00C461AE">
        <w:rPr>
          <w:rFonts w:ascii="Arial" w:hAnsi="Arial" w:cs="Arial"/>
          <w:sz w:val="20"/>
        </w:rPr>
        <w:t xml:space="preserve"> introduces students to the fundamental concepts of classical digital design</w:t>
      </w:r>
      <w:r w:rsidR="00874EA6">
        <w:rPr>
          <w:rFonts w:ascii="Arial" w:hAnsi="Arial" w:cs="Arial"/>
          <w:sz w:val="20"/>
        </w:rPr>
        <w:t>,</w:t>
      </w:r>
      <w:r w:rsidRPr="00C461AE">
        <w:rPr>
          <w:rFonts w:ascii="Arial" w:hAnsi="Arial" w:cs="Arial"/>
          <w:sz w:val="20"/>
        </w:rPr>
        <w:t xml:space="preserve"> including digital </w:t>
      </w:r>
      <w:proofErr w:type="spellStart"/>
      <w:r w:rsidR="00FE10F7" w:rsidRPr="00C461AE">
        <w:rPr>
          <w:rFonts w:ascii="Arial" w:hAnsi="Arial" w:cs="Arial"/>
          <w:sz w:val="20"/>
        </w:rPr>
        <w:t>signalling</w:t>
      </w:r>
      <w:proofErr w:type="spellEnd"/>
      <w:r w:rsidRPr="00C461AE">
        <w:rPr>
          <w:rFonts w:ascii="Arial" w:hAnsi="Arial" w:cs="Arial"/>
          <w:sz w:val="20"/>
        </w:rPr>
        <w:t xml:space="preserve">, the binary number system, </w:t>
      </w:r>
      <w:r w:rsidR="00FE10F7" w:rsidRPr="00C461AE">
        <w:rPr>
          <w:rFonts w:ascii="Arial" w:hAnsi="Arial" w:cs="Arial"/>
          <w:sz w:val="20"/>
        </w:rPr>
        <w:t>basic logic gate operation, and the transistor level implementation of gates.</w:t>
      </w:r>
      <w:r w:rsidRPr="00C461AE">
        <w:rPr>
          <w:rFonts w:ascii="Arial" w:hAnsi="Arial" w:cs="Arial"/>
          <w:sz w:val="20"/>
        </w:rPr>
        <w:t xml:space="preserve"> </w:t>
      </w:r>
      <w:r w:rsidR="00FE10F7" w:rsidRPr="00C461AE">
        <w:rPr>
          <w:rFonts w:ascii="Arial" w:hAnsi="Arial" w:cs="Arial"/>
          <w:sz w:val="20"/>
        </w:rPr>
        <w:t xml:space="preserve"> </w:t>
      </w:r>
      <w:r w:rsidRPr="00C461AE">
        <w:rPr>
          <w:rFonts w:ascii="Arial" w:hAnsi="Arial" w:cs="Arial"/>
          <w:sz w:val="20"/>
        </w:rPr>
        <w:t xml:space="preserve">The course </w:t>
      </w:r>
      <w:r w:rsidR="00FE10F7" w:rsidRPr="00C461AE">
        <w:rPr>
          <w:rFonts w:ascii="Arial" w:hAnsi="Arial" w:cs="Arial"/>
          <w:sz w:val="20"/>
        </w:rPr>
        <w:t xml:space="preserve">then </w:t>
      </w:r>
      <w:r w:rsidRPr="00C461AE">
        <w:rPr>
          <w:rFonts w:ascii="Arial" w:hAnsi="Arial" w:cs="Arial"/>
          <w:sz w:val="20"/>
        </w:rPr>
        <w:t xml:space="preserve">covers the design and implementation of combinational logic circuits using </w:t>
      </w:r>
      <w:r w:rsidR="00FE10F7" w:rsidRPr="00C461AE">
        <w:rPr>
          <w:rFonts w:ascii="Arial" w:hAnsi="Arial" w:cs="Arial"/>
          <w:sz w:val="20"/>
        </w:rPr>
        <w:t>Boolean</w:t>
      </w:r>
      <w:r w:rsidRPr="00C461AE">
        <w:rPr>
          <w:rFonts w:ascii="Arial" w:hAnsi="Arial" w:cs="Arial"/>
          <w:sz w:val="20"/>
        </w:rPr>
        <w:t xml:space="preserve"> algebra and logic mini</w:t>
      </w:r>
      <w:r w:rsidR="00FE10F7" w:rsidRPr="00C461AE">
        <w:rPr>
          <w:rFonts w:ascii="Arial" w:hAnsi="Arial" w:cs="Arial"/>
          <w:sz w:val="20"/>
        </w:rPr>
        <w:t xml:space="preserve">mization using </w:t>
      </w:r>
      <w:proofErr w:type="spellStart"/>
      <w:r w:rsidR="00FE10F7" w:rsidRPr="00C461AE">
        <w:rPr>
          <w:rFonts w:ascii="Arial" w:hAnsi="Arial" w:cs="Arial"/>
          <w:sz w:val="20"/>
        </w:rPr>
        <w:t>Kaurnaugh</w:t>
      </w:r>
      <w:proofErr w:type="spellEnd"/>
      <w:r w:rsidR="00FE10F7" w:rsidRPr="00C461AE">
        <w:rPr>
          <w:rFonts w:ascii="Arial" w:hAnsi="Arial" w:cs="Arial"/>
          <w:sz w:val="20"/>
        </w:rPr>
        <w:t xml:space="preserve"> maps.  S</w:t>
      </w:r>
      <w:r w:rsidRPr="00C461AE">
        <w:rPr>
          <w:rFonts w:ascii="Arial" w:hAnsi="Arial" w:cs="Arial"/>
          <w:sz w:val="20"/>
        </w:rPr>
        <w:t>equential circuits</w:t>
      </w:r>
      <w:r w:rsidR="00DC3B9A" w:rsidRPr="00C461AE">
        <w:rPr>
          <w:rFonts w:ascii="Arial" w:hAnsi="Arial" w:cs="Arial"/>
          <w:sz w:val="20"/>
        </w:rPr>
        <w:t xml:space="preserve"> are</w:t>
      </w:r>
      <w:r w:rsidR="00FE10F7" w:rsidRPr="00C461AE">
        <w:rPr>
          <w:rFonts w:ascii="Arial" w:hAnsi="Arial" w:cs="Arial"/>
          <w:sz w:val="20"/>
        </w:rPr>
        <w:t xml:space="preserve"> then introduced </w:t>
      </w:r>
      <w:r w:rsidR="00DC3B9A" w:rsidRPr="00C461AE">
        <w:rPr>
          <w:rFonts w:ascii="Arial" w:hAnsi="Arial" w:cs="Arial"/>
          <w:sz w:val="20"/>
        </w:rPr>
        <w:t>as well as</w:t>
      </w:r>
      <w:r w:rsidR="00FE10F7" w:rsidRPr="00C461AE">
        <w:rPr>
          <w:rFonts w:ascii="Arial" w:hAnsi="Arial" w:cs="Arial"/>
          <w:sz w:val="20"/>
        </w:rPr>
        <w:t xml:space="preserve"> finite state machine design</w:t>
      </w:r>
      <w:r w:rsidRPr="00C461AE">
        <w:rPr>
          <w:rFonts w:ascii="Arial" w:hAnsi="Arial" w:cs="Arial"/>
          <w:sz w:val="20"/>
        </w:rPr>
        <w:t xml:space="preserve">.  Hardware Descriptions Languages (VHDL) </w:t>
      </w:r>
      <w:proofErr w:type="gramStart"/>
      <w:r w:rsidRPr="00C461AE">
        <w:rPr>
          <w:rFonts w:ascii="Arial" w:hAnsi="Arial" w:cs="Arial"/>
          <w:sz w:val="20"/>
        </w:rPr>
        <w:t>are</w:t>
      </w:r>
      <w:proofErr w:type="gramEnd"/>
      <w:r w:rsidRPr="00C461AE">
        <w:rPr>
          <w:rFonts w:ascii="Arial" w:hAnsi="Arial" w:cs="Arial"/>
          <w:sz w:val="20"/>
        </w:rPr>
        <w:t xml:space="preserve"> introduced for the design and </w:t>
      </w:r>
      <w:r w:rsidR="00DC3B9A" w:rsidRPr="00C461AE">
        <w:rPr>
          <w:rFonts w:ascii="Arial" w:hAnsi="Arial" w:cs="Arial"/>
          <w:sz w:val="20"/>
        </w:rPr>
        <w:t xml:space="preserve">simulation of digital systems. The course also covers </w:t>
      </w:r>
      <w:r w:rsidR="00C461AE">
        <w:rPr>
          <w:rFonts w:ascii="Arial" w:hAnsi="Arial" w:cs="Arial"/>
          <w:sz w:val="20"/>
        </w:rPr>
        <w:t>b</w:t>
      </w:r>
      <w:r w:rsidRPr="00C461AE">
        <w:rPr>
          <w:rFonts w:ascii="Arial" w:hAnsi="Arial" w:cs="Arial"/>
          <w:sz w:val="20"/>
        </w:rPr>
        <w:t xml:space="preserve">asic concepts of programmable logic devices and information storage devices.  </w:t>
      </w:r>
    </w:p>
    <w:p w:rsidR="004B0D4D" w:rsidRPr="00C461AE" w:rsidRDefault="004B0D4D" w:rsidP="00C461AE">
      <w:pPr>
        <w:spacing w:after="100" w:afterAutospacing="1"/>
        <w:jc w:val="both"/>
        <w:rPr>
          <w:rFonts w:ascii="Arial" w:hAnsi="Arial" w:cs="Arial"/>
          <w:sz w:val="16"/>
          <w:szCs w:val="20"/>
          <w:lang w:eastAsia="ko-KR"/>
        </w:rPr>
      </w:pPr>
      <w:r w:rsidRPr="00C461AE">
        <w:rPr>
          <w:rFonts w:ascii="Arial" w:hAnsi="Arial" w:cs="Arial"/>
          <w:sz w:val="20"/>
        </w:rPr>
        <w:t>At the end of this course the student should be able to:</w:t>
      </w:r>
    </w:p>
    <w:p w:rsidR="004B0D4D" w:rsidRPr="004B0D4D" w:rsidRDefault="00DC3B9A" w:rsidP="00DC3B9A">
      <w:pPr>
        <w:pStyle w:val="SubSection"/>
        <w:spacing w:before="0" w:after="0"/>
        <w:jc w:val="left"/>
        <w:rPr>
          <w:rFonts w:cs="Arial"/>
          <w:b w:val="0"/>
        </w:rPr>
      </w:pPr>
      <w:r>
        <w:rPr>
          <w:rFonts w:cs="Arial"/>
          <w:b w:val="0"/>
        </w:rPr>
        <w:t>(</w:t>
      </w:r>
      <w:r w:rsidR="004B0D4D" w:rsidRPr="004B0D4D">
        <w:rPr>
          <w:rFonts w:cs="Arial"/>
          <w:b w:val="0"/>
        </w:rPr>
        <w:t>1)</w:t>
      </w:r>
      <w:r w:rsidR="00FE10F7">
        <w:rPr>
          <w:rFonts w:cs="Arial"/>
          <w:b w:val="0"/>
        </w:rPr>
        <w:tab/>
      </w:r>
      <w:r w:rsidR="004B0D4D" w:rsidRPr="004B0D4D">
        <w:rPr>
          <w:rFonts w:cs="Arial"/>
          <w:b w:val="0"/>
        </w:rPr>
        <w:t>Accomplish number system conversions (decimal, binary, octal, hexadecimal)</w:t>
      </w:r>
      <w:r w:rsidR="00FE10F7">
        <w:rPr>
          <w:rFonts w:cs="Arial"/>
          <w:b w:val="0"/>
        </w:rPr>
        <w:br/>
      </w:r>
      <w:r>
        <w:rPr>
          <w:rFonts w:cs="Arial"/>
          <w:b w:val="0"/>
        </w:rPr>
        <w:t>(</w:t>
      </w:r>
      <w:r w:rsidR="004B0D4D" w:rsidRPr="004B0D4D">
        <w:rPr>
          <w:rFonts w:cs="Arial"/>
          <w:b w:val="0"/>
        </w:rPr>
        <w:t>2)</w:t>
      </w:r>
      <w:r w:rsidR="00FE10F7">
        <w:rPr>
          <w:rFonts w:cs="Arial"/>
          <w:b w:val="0"/>
        </w:rPr>
        <w:tab/>
      </w:r>
      <w:r w:rsidR="004B0D4D" w:rsidRPr="004B0D4D">
        <w:rPr>
          <w:rFonts w:cs="Arial"/>
          <w:b w:val="0"/>
        </w:rPr>
        <w:t xml:space="preserve">Understand Boolean algebra and </w:t>
      </w:r>
      <w:proofErr w:type="spellStart"/>
      <w:r w:rsidR="004B0D4D" w:rsidRPr="004B0D4D">
        <w:rPr>
          <w:rFonts w:cs="Arial"/>
          <w:b w:val="0"/>
        </w:rPr>
        <w:t>Karnaugh</w:t>
      </w:r>
      <w:proofErr w:type="spellEnd"/>
      <w:r w:rsidR="004B0D4D" w:rsidRPr="004B0D4D">
        <w:rPr>
          <w:rFonts w:cs="Arial"/>
          <w:b w:val="0"/>
        </w:rPr>
        <w:t xml:space="preserve"> Maps</w:t>
      </w:r>
      <w:r w:rsidR="00FE10F7">
        <w:rPr>
          <w:rFonts w:cs="Arial"/>
          <w:b w:val="0"/>
        </w:rPr>
        <w:br/>
      </w:r>
      <w:r>
        <w:rPr>
          <w:rFonts w:cs="Arial"/>
          <w:b w:val="0"/>
        </w:rPr>
        <w:t>(</w:t>
      </w:r>
      <w:r w:rsidR="00FE10F7">
        <w:rPr>
          <w:rFonts w:cs="Arial"/>
          <w:b w:val="0"/>
        </w:rPr>
        <w:t>3)</w:t>
      </w:r>
      <w:r w:rsidR="00FE10F7">
        <w:rPr>
          <w:rFonts w:cs="Arial"/>
          <w:b w:val="0"/>
        </w:rPr>
        <w:tab/>
      </w:r>
      <w:r w:rsidR="004B0D4D" w:rsidRPr="004B0D4D">
        <w:rPr>
          <w:rFonts w:cs="Arial"/>
          <w:b w:val="0"/>
        </w:rPr>
        <w:t>Design, analyze, and minimize basic combination circuits</w:t>
      </w:r>
      <w:r w:rsidR="00FE10F7">
        <w:rPr>
          <w:rFonts w:cs="Arial"/>
          <w:b w:val="0"/>
        </w:rPr>
        <w:br/>
      </w:r>
      <w:r>
        <w:rPr>
          <w:rFonts w:cs="Arial"/>
          <w:b w:val="0"/>
        </w:rPr>
        <w:t>(</w:t>
      </w:r>
      <w:r w:rsidR="004B0D4D" w:rsidRPr="004B0D4D">
        <w:rPr>
          <w:rFonts w:cs="Arial"/>
          <w:b w:val="0"/>
        </w:rPr>
        <w:t>4)</w:t>
      </w:r>
      <w:r w:rsidR="00FE10F7">
        <w:rPr>
          <w:rFonts w:cs="Arial"/>
          <w:b w:val="0"/>
        </w:rPr>
        <w:tab/>
      </w:r>
      <w:r w:rsidR="004B0D4D" w:rsidRPr="004B0D4D">
        <w:rPr>
          <w:rFonts w:cs="Arial"/>
          <w:b w:val="0"/>
        </w:rPr>
        <w:t>Design and analyze basic sequential logic circuits</w:t>
      </w:r>
      <w:r w:rsidR="00FE10F7">
        <w:rPr>
          <w:rFonts w:cs="Arial"/>
          <w:b w:val="0"/>
        </w:rPr>
        <w:br/>
      </w:r>
      <w:r>
        <w:rPr>
          <w:rFonts w:cs="Arial"/>
          <w:b w:val="0"/>
        </w:rPr>
        <w:t>(</w:t>
      </w:r>
      <w:r w:rsidR="00FE10F7">
        <w:rPr>
          <w:rFonts w:cs="Arial"/>
          <w:b w:val="0"/>
        </w:rPr>
        <w:t>5)</w:t>
      </w:r>
      <w:r w:rsidR="00FE10F7">
        <w:rPr>
          <w:rFonts w:cs="Arial"/>
          <w:b w:val="0"/>
        </w:rPr>
        <w:tab/>
      </w:r>
      <w:r w:rsidR="004B0D4D" w:rsidRPr="004B0D4D">
        <w:rPr>
          <w:rFonts w:cs="Arial"/>
          <w:b w:val="0"/>
        </w:rPr>
        <w:t xml:space="preserve">Understand operation of basic medium scale integrated circuits </w:t>
      </w:r>
      <w:r w:rsidR="00FE10F7">
        <w:rPr>
          <w:rFonts w:cs="Arial"/>
          <w:b w:val="0"/>
        </w:rPr>
        <w:br/>
        <w:t xml:space="preserve"> </w:t>
      </w:r>
      <w:r w:rsidR="00FE10F7">
        <w:rPr>
          <w:rFonts w:cs="Arial"/>
          <w:b w:val="0"/>
        </w:rPr>
        <w:tab/>
      </w:r>
      <w:r w:rsidR="004B0D4D" w:rsidRPr="004B0D4D">
        <w:rPr>
          <w:rFonts w:cs="Arial"/>
          <w:b w:val="0"/>
        </w:rPr>
        <w:t xml:space="preserve">(decoders, </w:t>
      </w:r>
      <w:r w:rsidR="00FE10F7">
        <w:rPr>
          <w:rFonts w:cs="Arial"/>
          <w:b w:val="0"/>
        </w:rPr>
        <w:t xml:space="preserve">encoders, </w:t>
      </w:r>
      <w:r w:rsidR="004B0D4D" w:rsidRPr="004B0D4D">
        <w:rPr>
          <w:rFonts w:cs="Arial"/>
          <w:b w:val="0"/>
        </w:rPr>
        <w:t>multiplexers</w:t>
      </w:r>
      <w:r w:rsidR="000770FC">
        <w:rPr>
          <w:rFonts w:cs="Arial"/>
          <w:b w:val="0"/>
        </w:rPr>
        <w:t xml:space="preserve">, </w:t>
      </w:r>
      <w:proofErr w:type="spellStart"/>
      <w:r w:rsidR="000770FC">
        <w:rPr>
          <w:rFonts w:cs="Arial"/>
          <w:b w:val="0"/>
        </w:rPr>
        <w:t>demultiplexers</w:t>
      </w:r>
      <w:proofErr w:type="spellEnd"/>
      <w:r w:rsidR="000770FC">
        <w:rPr>
          <w:rFonts w:cs="Arial"/>
          <w:b w:val="0"/>
        </w:rPr>
        <w:t xml:space="preserve"> and adders)</w:t>
      </w:r>
      <w:r w:rsidR="000770FC">
        <w:rPr>
          <w:rFonts w:cs="Arial"/>
          <w:b w:val="0"/>
        </w:rPr>
        <w:br/>
      </w:r>
      <w:r>
        <w:rPr>
          <w:rFonts w:cs="Arial"/>
          <w:b w:val="0"/>
        </w:rPr>
        <w:t>(</w:t>
      </w:r>
      <w:r w:rsidR="000770FC">
        <w:rPr>
          <w:rFonts w:cs="Arial"/>
          <w:b w:val="0"/>
        </w:rPr>
        <w:t>6</w:t>
      </w:r>
      <w:r>
        <w:rPr>
          <w:rFonts w:cs="Arial"/>
          <w:b w:val="0"/>
        </w:rPr>
        <w:t xml:space="preserve">) </w:t>
      </w:r>
      <w:r w:rsidR="00FE10F7" w:rsidRPr="004B0D4D">
        <w:rPr>
          <w:rFonts w:cs="Arial"/>
          <w:b w:val="0"/>
        </w:rPr>
        <w:t>Understand concepts of hardware description languages</w:t>
      </w:r>
      <w:r w:rsidR="00FE10F7">
        <w:rPr>
          <w:rFonts w:cs="Arial"/>
          <w:b w:val="0"/>
        </w:rPr>
        <w:t xml:space="preserve"> and </w:t>
      </w:r>
      <w:r w:rsidR="000770FC">
        <w:rPr>
          <w:rFonts w:cs="Arial"/>
          <w:b w:val="0"/>
        </w:rPr>
        <w:t xml:space="preserve">modern digital design </w:t>
      </w:r>
      <w:r>
        <w:rPr>
          <w:rFonts w:cs="Arial"/>
          <w:b w:val="0"/>
        </w:rPr>
        <w:t>flow.</w:t>
      </w:r>
      <w:r w:rsidR="000770FC">
        <w:rPr>
          <w:rFonts w:cs="Arial"/>
          <w:b w:val="0"/>
        </w:rPr>
        <w:br/>
      </w:r>
      <w:r>
        <w:rPr>
          <w:rFonts w:cs="Arial"/>
          <w:b w:val="0"/>
        </w:rPr>
        <w:t>(</w:t>
      </w:r>
      <w:r w:rsidR="000770FC">
        <w:rPr>
          <w:rFonts w:cs="Arial"/>
          <w:b w:val="0"/>
        </w:rPr>
        <w:t>7</w:t>
      </w:r>
      <w:r w:rsidR="00FE10F7">
        <w:rPr>
          <w:rFonts w:cs="Arial"/>
          <w:b w:val="0"/>
        </w:rPr>
        <w:t>)</w:t>
      </w:r>
      <w:r w:rsidR="00FE10F7">
        <w:rPr>
          <w:rFonts w:cs="Arial"/>
          <w:b w:val="0"/>
        </w:rPr>
        <w:tab/>
        <w:t xml:space="preserve">Describe and simulate combinational logic circuits with a </w:t>
      </w:r>
      <w:r w:rsidR="000770FC">
        <w:rPr>
          <w:rFonts w:cs="Arial"/>
          <w:b w:val="0"/>
        </w:rPr>
        <w:t>hardware description language.</w:t>
      </w:r>
      <w:r w:rsidR="000770FC">
        <w:rPr>
          <w:rFonts w:cs="Arial"/>
          <w:b w:val="0"/>
        </w:rPr>
        <w:br/>
      </w:r>
      <w:r>
        <w:rPr>
          <w:rFonts w:cs="Arial"/>
          <w:b w:val="0"/>
        </w:rPr>
        <w:t>(</w:t>
      </w:r>
      <w:r w:rsidR="000770FC">
        <w:rPr>
          <w:rFonts w:cs="Arial"/>
          <w:b w:val="0"/>
        </w:rPr>
        <w:t>8</w:t>
      </w:r>
      <w:r w:rsidR="004B0D4D" w:rsidRPr="004B0D4D">
        <w:rPr>
          <w:rFonts w:cs="Arial"/>
          <w:b w:val="0"/>
        </w:rPr>
        <w:t>)</w:t>
      </w:r>
      <w:r w:rsidR="00FE10F7">
        <w:rPr>
          <w:rFonts w:cs="Arial"/>
          <w:b w:val="0"/>
        </w:rPr>
        <w:tab/>
      </w:r>
      <w:r w:rsidR="004B0D4D" w:rsidRPr="004B0D4D">
        <w:rPr>
          <w:rFonts w:cs="Arial"/>
          <w:b w:val="0"/>
        </w:rPr>
        <w:t xml:space="preserve">Be familiar with basic concepts of programmable logic and information storage devices. </w:t>
      </w:r>
    </w:p>
    <w:p w:rsidR="004B0D4D" w:rsidRPr="00FE10F7" w:rsidRDefault="00FE10F7" w:rsidP="00FE10F7">
      <w:pPr>
        <w:pStyle w:val="SubSection"/>
        <w:spacing w:after="0"/>
        <w:rPr>
          <w:rFonts w:cs="Arial"/>
          <w:b w:val="0"/>
        </w:rPr>
      </w:pPr>
      <w:r>
        <w:rPr>
          <w:rFonts w:cs="Arial"/>
          <w:b w:val="0"/>
        </w:rPr>
        <w:t>At Montana State</w:t>
      </w:r>
      <w:r w:rsidR="00DC3B9A">
        <w:rPr>
          <w:rFonts w:cs="Arial"/>
          <w:b w:val="0"/>
        </w:rPr>
        <w:t xml:space="preserve"> University</w:t>
      </w:r>
      <w:r>
        <w:rPr>
          <w:rFonts w:cs="Arial"/>
          <w:b w:val="0"/>
        </w:rPr>
        <w:t>, this course</w:t>
      </w:r>
      <w:r w:rsidR="00DC3B9A">
        <w:rPr>
          <w:rFonts w:cs="Arial"/>
          <w:b w:val="0"/>
        </w:rPr>
        <w:t xml:space="preserve"> is used as an outcome indicator</w:t>
      </w:r>
      <w:r>
        <w:rPr>
          <w:rFonts w:cs="Arial"/>
          <w:b w:val="0"/>
        </w:rPr>
        <w:t xml:space="preserve"> for the ABET outcome </w:t>
      </w:r>
      <w:r w:rsidR="00DC3B9A">
        <w:rPr>
          <w:rFonts w:cs="Arial"/>
          <w:b w:val="0"/>
        </w:rPr>
        <w:t>(</w:t>
      </w:r>
      <w:r>
        <w:rPr>
          <w:rFonts w:cs="Arial"/>
          <w:b w:val="0"/>
        </w:rPr>
        <w:t xml:space="preserve">o) </w:t>
      </w:r>
      <w:proofErr w:type="gramStart"/>
      <w:r w:rsidRPr="00FE10F7">
        <w:rPr>
          <w:rFonts w:cs="Arial"/>
          <w:b w:val="0"/>
          <w:i/>
        </w:rPr>
        <w:t>An</w:t>
      </w:r>
      <w:proofErr w:type="gramEnd"/>
      <w:r w:rsidRPr="00FE10F7">
        <w:rPr>
          <w:rFonts w:cs="Arial"/>
          <w:b w:val="0"/>
          <w:i/>
        </w:rPr>
        <w:t xml:space="preserve"> ability to design digital systems using modern design tools</w:t>
      </w:r>
      <w:r>
        <w:rPr>
          <w:rFonts w:cs="Arial"/>
          <w:b w:val="0"/>
          <w:i/>
        </w:rPr>
        <w:t xml:space="preserve">. </w:t>
      </w:r>
    </w:p>
    <w:p w:rsidR="00FC3138" w:rsidRDefault="00FE10F7" w:rsidP="00AC6F08">
      <w:pPr>
        <w:pStyle w:val="SubSection"/>
        <w:rPr>
          <w:rFonts w:cs="Arial"/>
          <w:b w:val="0"/>
        </w:rPr>
      </w:pPr>
      <w:r>
        <w:rPr>
          <w:rFonts w:cs="Arial"/>
          <w:b w:val="0"/>
        </w:rPr>
        <w:t>The course is broken into 8 learning modules.  Each module is designed to last an integer number of weeks in order to synchronize to a 16 week schedule with 1 week of break.  Modules range from 1 to 3 weeks.  Each week, students are provided practice problems with solutions that correspond to the material being covered that week in lecture</w:t>
      </w:r>
      <w:r w:rsidR="00FC3138">
        <w:rPr>
          <w:rFonts w:cs="Arial"/>
          <w:b w:val="0"/>
        </w:rPr>
        <w:t>.  Each week, t</w:t>
      </w:r>
      <w:r>
        <w:rPr>
          <w:rFonts w:cs="Arial"/>
          <w:b w:val="0"/>
        </w:rPr>
        <w:t xml:space="preserve">he students are assigned a set of graded homework exercises that are due the following week.  </w:t>
      </w:r>
      <w:r w:rsidR="00FC3138">
        <w:rPr>
          <w:rFonts w:cs="Arial"/>
          <w:b w:val="0"/>
        </w:rPr>
        <w:t>There are 15 total homework assignments throughout the semester with each one being worth 2% of the students</w:t>
      </w:r>
      <w:r w:rsidR="00DC3B9A">
        <w:rPr>
          <w:rFonts w:cs="Arial"/>
          <w:b w:val="0"/>
        </w:rPr>
        <w:t>’</w:t>
      </w:r>
      <w:r w:rsidR="00FC3138">
        <w:rPr>
          <w:rFonts w:cs="Arial"/>
          <w:b w:val="0"/>
        </w:rPr>
        <w:t xml:space="preserve"> final grade.  Homework assignments constitute 30% of the students</w:t>
      </w:r>
      <w:r w:rsidR="00DC3B9A">
        <w:rPr>
          <w:rFonts w:cs="Arial"/>
          <w:b w:val="0"/>
        </w:rPr>
        <w:t>’</w:t>
      </w:r>
      <w:r w:rsidR="00FC3138">
        <w:rPr>
          <w:rFonts w:cs="Arial"/>
          <w:b w:val="0"/>
        </w:rPr>
        <w:t xml:space="preserve"> final grade.</w:t>
      </w:r>
    </w:p>
    <w:p w:rsidR="00FC3138" w:rsidRDefault="00FC3138" w:rsidP="00AC6F08">
      <w:pPr>
        <w:pStyle w:val="SubSection"/>
        <w:rPr>
          <w:rFonts w:cs="Arial"/>
          <w:b w:val="0"/>
        </w:rPr>
      </w:pPr>
      <w:r>
        <w:rPr>
          <w:rFonts w:cs="Arial"/>
          <w:b w:val="0"/>
        </w:rPr>
        <w:t>Each week</w:t>
      </w:r>
      <w:r w:rsidR="00874EA6">
        <w:rPr>
          <w:rFonts w:cs="Arial"/>
          <w:b w:val="0"/>
        </w:rPr>
        <w:t>,</w:t>
      </w:r>
      <w:r>
        <w:rPr>
          <w:rFonts w:cs="Arial"/>
          <w:b w:val="0"/>
        </w:rPr>
        <w:t xml:space="preserve"> the students are also required to participate in a discussion group in the course management system.  Weekly topics are related to historical and worldly issues associated with digital systems.  There are 15 total discussion assignments throughout the semester with each one being worth 1% of the students</w:t>
      </w:r>
      <w:r w:rsidR="00DC3B9A">
        <w:rPr>
          <w:rFonts w:cs="Arial"/>
          <w:b w:val="0"/>
        </w:rPr>
        <w:t>’</w:t>
      </w:r>
      <w:r>
        <w:rPr>
          <w:rFonts w:cs="Arial"/>
          <w:b w:val="0"/>
        </w:rPr>
        <w:t xml:space="preserve"> final grade.  The grading of the discussion is on </w:t>
      </w:r>
      <w:r>
        <w:rPr>
          <w:rFonts w:cs="Arial"/>
          <w:b w:val="0"/>
        </w:rPr>
        <w:lastRenderedPageBreak/>
        <w:t>participation, not on the content of their posting.  Discussion postings constitute 15% of the students</w:t>
      </w:r>
      <w:r w:rsidR="00DC3B9A">
        <w:rPr>
          <w:rFonts w:cs="Arial"/>
          <w:b w:val="0"/>
        </w:rPr>
        <w:t>’</w:t>
      </w:r>
      <w:r>
        <w:rPr>
          <w:rFonts w:cs="Arial"/>
          <w:b w:val="0"/>
        </w:rPr>
        <w:t xml:space="preserve"> final grade.</w:t>
      </w:r>
    </w:p>
    <w:p w:rsidR="004B0D4D" w:rsidRDefault="00FC3138" w:rsidP="00AC6F08">
      <w:pPr>
        <w:pStyle w:val="SubSection"/>
        <w:rPr>
          <w:rFonts w:cs="Arial"/>
          <w:b w:val="0"/>
        </w:rPr>
      </w:pPr>
      <w:r>
        <w:rPr>
          <w:rFonts w:cs="Arial"/>
          <w:b w:val="0"/>
        </w:rPr>
        <w:t>At the end of each module, the students are given a quiz. The quizzes test the students on the main concepts of the module.  There are a total of 8 quizzes throughout the semester, 1 for each of the 8 corresponding learning modules.  The grading weight of the quiz depends on the length of the module.  One week modules have a quiz wort</w:t>
      </w:r>
      <w:r w:rsidR="00DC3B9A">
        <w:rPr>
          <w:rFonts w:cs="Arial"/>
          <w:b w:val="0"/>
        </w:rPr>
        <w:t>h 2% of their final grade.  Two-week and three-</w:t>
      </w:r>
      <w:r>
        <w:rPr>
          <w:rFonts w:cs="Arial"/>
          <w:b w:val="0"/>
        </w:rPr>
        <w:t>week modules have</w:t>
      </w:r>
      <w:r w:rsidR="00DC3B9A">
        <w:rPr>
          <w:rFonts w:cs="Arial"/>
          <w:b w:val="0"/>
        </w:rPr>
        <w:t xml:space="preserve"> a quiz worth 4% and 6% of the final grade respectively.   Collectively, m</w:t>
      </w:r>
      <w:r>
        <w:rPr>
          <w:rFonts w:cs="Arial"/>
          <w:b w:val="0"/>
        </w:rPr>
        <w:t>odule quizzes constitute 30% of the students</w:t>
      </w:r>
      <w:r w:rsidR="00DC3B9A">
        <w:rPr>
          <w:rFonts w:cs="Arial"/>
          <w:b w:val="0"/>
        </w:rPr>
        <w:t>’</w:t>
      </w:r>
      <w:r>
        <w:rPr>
          <w:rFonts w:cs="Arial"/>
          <w:b w:val="0"/>
        </w:rPr>
        <w:t xml:space="preserve"> final grade.</w:t>
      </w:r>
    </w:p>
    <w:p w:rsidR="00DC3B9A" w:rsidRDefault="00FC3138" w:rsidP="00AC6F08">
      <w:pPr>
        <w:pStyle w:val="SubSection"/>
        <w:rPr>
          <w:rFonts w:cs="Arial"/>
          <w:b w:val="0"/>
        </w:rPr>
      </w:pPr>
      <w:r>
        <w:rPr>
          <w:rFonts w:cs="Arial"/>
          <w:b w:val="0"/>
        </w:rPr>
        <w:t xml:space="preserve">At the end of the semester, </w:t>
      </w:r>
      <w:r w:rsidR="00DC3B9A">
        <w:rPr>
          <w:rFonts w:cs="Arial"/>
          <w:b w:val="0"/>
        </w:rPr>
        <w:t xml:space="preserve">students take </w:t>
      </w:r>
      <w:r>
        <w:rPr>
          <w:rFonts w:cs="Arial"/>
          <w:b w:val="0"/>
        </w:rPr>
        <w:t>a final exam that is worth 25% of their final grade.  The following figure lists the topics of the 8 learning modules and the corresponding assignments and time spent per section.</w:t>
      </w:r>
    </w:p>
    <w:p w:rsidR="004B0D4D" w:rsidRDefault="00FC3138" w:rsidP="00AC6F08">
      <w:pPr>
        <w:pStyle w:val="SubSection"/>
        <w:rPr>
          <w:rFonts w:cs="Arial"/>
          <w:b w:val="0"/>
        </w:rPr>
      </w:pPr>
      <w:r>
        <w:rPr>
          <w:rFonts w:cs="Arial"/>
          <w:b w:val="0"/>
          <w:noProof/>
          <w:lang w:val="en-US"/>
        </w:rPr>
        <w:drawing>
          <wp:anchor distT="0" distB="0" distL="114300" distR="114300" simplePos="0" relativeHeight="251659264" behindDoc="1" locked="0" layoutInCell="1" allowOverlap="1">
            <wp:simplePos x="0" y="0"/>
            <wp:positionH relativeFrom="column">
              <wp:posOffset>53340</wp:posOffset>
            </wp:positionH>
            <wp:positionV relativeFrom="paragraph">
              <wp:posOffset>22225</wp:posOffset>
            </wp:positionV>
            <wp:extent cx="5474457" cy="5953125"/>
            <wp:effectExtent l="19050" t="0" r="0" b="0"/>
            <wp:wrapNone/>
            <wp:docPr id="3" name="Picture 2" descr="EE261_Online_Course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261_Online_Course_Map"/>
                    <pic:cNvPicPr>
                      <a:picLocks noChangeAspect="1" noChangeArrowheads="1"/>
                    </pic:cNvPicPr>
                  </pic:nvPicPr>
                  <pic:blipFill>
                    <a:blip r:embed="rId8" cstate="print"/>
                    <a:srcRect/>
                    <a:stretch>
                      <a:fillRect/>
                    </a:stretch>
                  </pic:blipFill>
                  <pic:spPr bwMode="auto">
                    <a:xfrm>
                      <a:off x="0" y="0"/>
                      <a:ext cx="5475605" cy="5954373"/>
                    </a:xfrm>
                    <a:prstGeom prst="rect">
                      <a:avLst/>
                    </a:prstGeom>
                    <a:noFill/>
                  </pic:spPr>
                </pic:pic>
              </a:graphicData>
            </a:graphic>
          </wp:anchor>
        </w:drawing>
      </w: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4B0D4D" w:rsidRDefault="004B0D4D" w:rsidP="00AC6F08">
      <w:pPr>
        <w:pStyle w:val="SubSection"/>
        <w:rPr>
          <w:rFonts w:cs="Arial"/>
          <w:b w:val="0"/>
        </w:rPr>
      </w:pPr>
    </w:p>
    <w:p w:rsidR="00FC3138" w:rsidRPr="00DC3B9A" w:rsidRDefault="00874EA6" w:rsidP="00AC6F08">
      <w:pPr>
        <w:pStyle w:val="SubSection"/>
        <w:rPr>
          <w:rFonts w:cs="Arial"/>
          <w:b w:val="0"/>
        </w:rPr>
      </w:pPr>
      <w:r>
        <w:rPr>
          <w:rFonts w:cs="Arial"/>
          <w:b w:val="0"/>
        </w:rPr>
        <w:t xml:space="preserve">         </w:t>
      </w:r>
      <w:proofErr w:type="gramStart"/>
      <w:r w:rsidR="00FC3138" w:rsidRPr="00DC3B9A">
        <w:rPr>
          <w:rFonts w:cs="Arial"/>
          <w:b w:val="0"/>
        </w:rPr>
        <w:t>Figure 1.</w:t>
      </w:r>
      <w:proofErr w:type="gramEnd"/>
      <w:r w:rsidR="00FC3138" w:rsidRPr="00DC3B9A">
        <w:rPr>
          <w:rFonts w:cs="Arial"/>
          <w:b w:val="0"/>
        </w:rPr>
        <w:t xml:space="preserve">  Learning module topics and corresponding time spent and graded deliverables.</w:t>
      </w:r>
    </w:p>
    <w:p w:rsidR="00383C7C" w:rsidRDefault="00383C7C" w:rsidP="00AC6F08">
      <w:pPr>
        <w:pStyle w:val="SubSection"/>
        <w:rPr>
          <w:rFonts w:cs="Arial"/>
          <w:sz w:val="24"/>
          <w:szCs w:val="24"/>
        </w:rPr>
      </w:pPr>
      <w:r>
        <w:rPr>
          <w:rFonts w:cs="Arial"/>
          <w:sz w:val="24"/>
          <w:szCs w:val="24"/>
        </w:rPr>
        <w:lastRenderedPageBreak/>
        <w:t>4.  Results</w:t>
      </w:r>
      <w:r w:rsidR="007B2093">
        <w:rPr>
          <w:rFonts w:cs="Arial"/>
          <w:sz w:val="24"/>
          <w:szCs w:val="24"/>
        </w:rPr>
        <w:t xml:space="preserve"> and Discussion</w:t>
      </w:r>
    </w:p>
    <w:p w:rsidR="00DC3B9A" w:rsidRDefault="00DC3B9A" w:rsidP="00AC6F08">
      <w:pPr>
        <w:pStyle w:val="SubSection"/>
        <w:rPr>
          <w:rFonts w:cs="Arial"/>
          <w:b w:val="0"/>
        </w:rPr>
      </w:pPr>
      <w:r>
        <w:rPr>
          <w:rFonts w:cs="Arial"/>
          <w:b w:val="0"/>
        </w:rPr>
        <w:t xml:space="preserve">In this section, we present </w:t>
      </w:r>
      <w:r w:rsidR="00874EA6">
        <w:rPr>
          <w:rFonts w:cs="Arial"/>
          <w:b w:val="0"/>
        </w:rPr>
        <w:t xml:space="preserve">a comparison of </w:t>
      </w:r>
      <w:r>
        <w:rPr>
          <w:rFonts w:cs="Arial"/>
          <w:b w:val="0"/>
        </w:rPr>
        <w:t>the student grades for the various graded components of the course.</w:t>
      </w:r>
    </w:p>
    <w:p w:rsidR="007B2093" w:rsidRDefault="00C0463B" w:rsidP="00AC6F08">
      <w:pPr>
        <w:pStyle w:val="SubSection"/>
        <w:rPr>
          <w:rFonts w:cs="Arial"/>
          <w:b w:val="0"/>
        </w:rPr>
      </w:pPr>
      <w:r>
        <w:rPr>
          <w:rFonts w:cs="Arial"/>
          <w:b w:val="0"/>
        </w:rPr>
        <w:t xml:space="preserve">The average of the course </w:t>
      </w:r>
      <w:r w:rsidR="007B2093">
        <w:rPr>
          <w:rFonts w:cs="Arial"/>
          <w:b w:val="0"/>
        </w:rPr>
        <w:t>grades from the two courses was</w:t>
      </w:r>
      <w:r>
        <w:rPr>
          <w:rFonts w:cs="Arial"/>
          <w:b w:val="0"/>
        </w:rPr>
        <w:t xml:space="preserve"> nearly identical</w:t>
      </w:r>
      <w:r w:rsidR="007B2093">
        <w:rPr>
          <w:rFonts w:cs="Arial"/>
          <w:b w:val="0"/>
        </w:rPr>
        <w:t>:  83.68% for the face-to-face course and 83.72% for the online course</w:t>
      </w:r>
      <w:r>
        <w:rPr>
          <w:rFonts w:cs="Arial"/>
          <w:b w:val="0"/>
        </w:rPr>
        <w:t xml:space="preserve">.  </w:t>
      </w:r>
      <w:r w:rsidR="001A51C1">
        <w:rPr>
          <w:rFonts w:cs="Arial"/>
          <w:b w:val="0"/>
        </w:rPr>
        <w:t xml:space="preserve">There was no significant difference between the two groups in regard to the final course grade, according to a two-sample t-test.  </w:t>
      </w:r>
      <w:r>
        <w:rPr>
          <w:rFonts w:cs="Arial"/>
          <w:b w:val="0"/>
        </w:rPr>
        <w:t xml:space="preserve">The range of </w:t>
      </w:r>
      <w:r w:rsidR="00FA1060">
        <w:rPr>
          <w:rFonts w:cs="Arial"/>
          <w:b w:val="0"/>
        </w:rPr>
        <w:t xml:space="preserve">final </w:t>
      </w:r>
      <w:r>
        <w:rPr>
          <w:rFonts w:cs="Arial"/>
          <w:b w:val="0"/>
        </w:rPr>
        <w:t xml:space="preserve">grades from the fall face-to-face course was 65% to 96%, whereas the range in the spring online course was a bit wider:  60% to 98%.  </w:t>
      </w:r>
      <w:r w:rsidR="007B2093">
        <w:rPr>
          <w:rFonts w:cs="Arial"/>
          <w:b w:val="0"/>
        </w:rPr>
        <w:t xml:space="preserve">The overall grade point average of students in the fall course </w:t>
      </w:r>
      <w:r w:rsidR="00DC3B9A">
        <w:rPr>
          <w:rFonts w:cs="Arial"/>
          <w:b w:val="0"/>
        </w:rPr>
        <w:t xml:space="preserve">(from all of their college coursework to date) </w:t>
      </w:r>
      <w:r w:rsidR="007B2093">
        <w:rPr>
          <w:rFonts w:cs="Arial"/>
          <w:b w:val="0"/>
        </w:rPr>
        <w:t xml:space="preserve">was 2.94, whereas the overall grade point average of students in the spring course was 3.02.  </w:t>
      </w:r>
      <w:r w:rsidR="001E45AC">
        <w:rPr>
          <w:rFonts w:cs="Arial"/>
          <w:b w:val="0"/>
        </w:rPr>
        <w:t xml:space="preserve">A two-sample t-test showed no significant difference in the overall </w:t>
      </w:r>
      <w:r w:rsidR="00E823AE">
        <w:rPr>
          <w:rFonts w:cs="Arial"/>
          <w:b w:val="0"/>
        </w:rPr>
        <w:t xml:space="preserve">college grade point averages </w:t>
      </w:r>
      <w:r w:rsidR="001E45AC">
        <w:rPr>
          <w:rFonts w:cs="Arial"/>
          <w:b w:val="0"/>
        </w:rPr>
        <w:t>of the two groups of students (</w:t>
      </w:r>
      <w:r w:rsidR="001E45AC" w:rsidRPr="001E45AC">
        <w:rPr>
          <w:rFonts w:cs="Arial"/>
          <w:b w:val="0"/>
          <w:i/>
        </w:rPr>
        <w:t>p</w:t>
      </w:r>
      <w:r w:rsidR="001E45AC">
        <w:rPr>
          <w:rFonts w:cs="Arial"/>
          <w:b w:val="0"/>
        </w:rPr>
        <w:t xml:space="preserve"> = .654).  </w:t>
      </w:r>
      <w:r w:rsidR="007B2093">
        <w:rPr>
          <w:rFonts w:cs="Arial"/>
          <w:b w:val="0"/>
        </w:rPr>
        <w:t>Table 1 bel</w:t>
      </w:r>
      <w:r w:rsidR="00874EA6">
        <w:rPr>
          <w:rFonts w:cs="Arial"/>
          <w:b w:val="0"/>
        </w:rPr>
        <w:t xml:space="preserve">ow shows </w:t>
      </w:r>
      <w:proofErr w:type="gramStart"/>
      <w:r w:rsidR="00874EA6">
        <w:rPr>
          <w:rFonts w:cs="Arial"/>
          <w:b w:val="0"/>
        </w:rPr>
        <w:t xml:space="preserve">all </w:t>
      </w:r>
      <w:r w:rsidR="007B2093">
        <w:rPr>
          <w:rFonts w:cs="Arial"/>
          <w:b w:val="0"/>
        </w:rPr>
        <w:t>of the</w:t>
      </w:r>
      <w:proofErr w:type="gramEnd"/>
      <w:r w:rsidR="007B2093">
        <w:rPr>
          <w:rFonts w:cs="Arial"/>
          <w:b w:val="0"/>
        </w:rPr>
        <w:t xml:space="preserve"> grade averages for the work in both courses.</w:t>
      </w:r>
    </w:p>
    <w:p w:rsidR="007B2093" w:rsidRPr="00C0463B" w:rsidRDefault="007B2093" w:rsidP="00AC6F08">
      <w:pPr>
        <w:pStyle w:val="SubSection"/>
        <w:rPr>
          <w:rFonts w:cs="Arial"/>
          <w:b w:val="0"/>
        </w:rPr>
      </w:pPr>
    </w:p>
    <w:p w:rsidR="00C0463B" w:rsidRPr="00C0463B" w:rsidRDefault="00C0463B" w:rsidP="00C0463B">
      <w:pPr>
        <w:rPr>
          <w:rFonts w:ascii="Arial" w:hAnsi="Arial" w:cs="Arial"/>
          <w:sz w:val="20"/>
          <w:szCs w:val="20"/>
        </w:rPr>
      </w:pPr>
      <w:r>
        <w:rPr>
          <w:rFonts w:ascii="Arial" w:hAnsi="Arial" w:cs="Arial"/>
          <w:b/>
          <w:sz w:val="20"/>
          <w:szCs w:val="20"/>
          <w:lang w:val="en-GB"/>
        </w:rPr>
        <w:tab/>
        <w:t xml:space="preserve">       </w:t>
      </w:r>
      <w:proofErr w:type="gramStart"/>
      <w:r>
        <w:rPr>
          <w:rFonts w:ascii="Arial" w:hAnsi="Arial" w:cs="Arial"/>
          <w:sz w:val="20"/>
          <w:szCs w:val="20"/>
          <w:lang w:val="en-GB"/>
        </w:rPr>
        <w:t>Table 1.</w:t>
      </w:r>
      <w:proofErr w:type="gramEnd"/>
      <w:r>
        <w:rPr>
          <w:rFonts w:ascii="Arial" w:hAnsi="Arial" w:cs="Arial"/>
          <w:sz w:val="20"/>
          <w:szCs w:val="20"/>
          <w:lang w:val="en-GB"/>
        </w:rPr>
        <w:t xml:space="preserve">  Comparison of grades from face-to-face and online courses</w:t>
      </w:r>
    </w:p>
    <w:tbl>
      <w:tblPr>
        <w:tblW w:w="526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1915"/>
        <w:gridCol w:w="1890"/>
      </w:tblGrid>
      <w:tr w:rsidR="00C0463B" w:rsidRPr="00C0463B" w:rsidTr="00C0463B">
        <w:trPr>
          <w:trHeight w:val="315"/>
          <w:jc w:val="center"/>
        </w:trPr>
        <w:tc>
          <w:tcPr>
            <w:tcW w:w="1460" w:type="dxa"/>
            <w:tcBorders>
              <w:top w:val="single" w:sz="4" w:space="0" w:color="auto"/>
              <w:left w:val="single" w:sz="4" w:space="0" w:color="auto"/>
              <w:bottom w:val="single" w:sz="4" w:space="0" w:color="auto"/>
              <w:right w:val="nil"/>
            </w:tcBorders>
            <w:shd w:val="clear" w:color="auto" w:fill="auto"/>
            <w:noWrap/>
            <w:vAlign w:val="bottom"/>
            <w:hideMark/>
          </w:tcPr>
          <w:p w:rsidR="00C0463B" w:rsidRPr="00B22812" w:rsidRDefault="00C0463B" w:rsidP="00C0463B">
            <w:pPr>
              <w:rPr>
                <w:rFonts w:ascii="Arial" w:hAnsi="Arial" w:cs="Arial"/>
                <w:color w:val="000000"/>
                <w:sz w:val="20"/>
                <w:szCs w:val="20"/>
              </w:rPr>
            </w:pPr>
          </w:p>
        </w:tc>
        <w:tc>
          <w:tcPr>
            <w:tcW w:w="1915" w:type="dxa"/>
            <w:tcBorders>
              <w:top w:val="single" w:sz="4" w:space="0" w:color="auto"/>
              <w:left w:val="nil"/>
              <w:bottom w:val="single" w:sz="4" w:space="0" w:color="auto"/>
              <w:right w:val="nil"/>
            </w:tcBorders>
            <w:shd w:val="clear" w:color="auto" w:fill="auto"/>
            <w:noWrap/>
            <w:vAlign w:val="bottom"/>
            <w:hideMark/>
          </w:tcPr>
          <w:p w:rsidR="00C0463B" w:rsidRPr="00C0463B" w:rsidRDefault="00C0463B" w:rsidP="00C0463B">
            <w:pPr>
              <w:jc w:val="center"/>
              <w:rPr>
                <w:rFonts w:ascii="Arial" w:hAnsi="Arial" w:cs="Arial"/>
                <w:color w:val="000000"/>
                <w:sz w:val="20"/>
                <w:szCs w:val="20"/>
              </w:rPr>
            </w:pPr>
            <w:r w:rsidRPr="00C0463B">
              <w:rPr>
                <w:rFonts w:ascii="Arial" w:hAnsi="Arial" w:cs="Arial"/>
                <w:color w:val="000000"/>
                <w:sz w:val="20"/>
                <w:szCs w:val="20"/>
              </w:rPr>
              <w:t>Fall 2010</w:t>
            </w:r>
          </w:p>
          <w:p w:rsidR="00C0463B" w:rsidRPr="00B22812" w:rsidRDefault="00C0463B" w:rsidP="00C0463B">
            <w:pPr>
              <w:jc w:val="center"/>
              <w:rPr>
                <w:rFonts w:ascii="Arial" w:hAnsi="Arial" w:cs="Arial"/>
                <w:color w:val="000000"/>
                <w:sz w:val="20"/>
                <w:szCs w:val="20"/>
              </w:rPr>
            </w:pPr>
            <w:r w:rsidRPr="00C0463B">
              <w:rPr>
                <w:rFonts w:ascii="Arial" w:hAnsi="Arial" w:cs="Arial"/>
                <w:color w:val="000000"/>
                <w:sz w:val="20"/>
                <w:szCs w:val="20"/>
              </w:rPr>
              <w:t>Face-to-Face</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0463B" w:rsidRPr="00C0463B" w:rsidRDefault="00C0463B" w:rsidP="00C0463B">
            <w:pPr>
              <w:jc w:val="center"/>
              <w:rPr>
                <w:rFonts w:ascii="Arial" w:hAnsi="Arial" w:cs="Arial"/>
                <w:color w:val="000000"/>
                <w:sz w:val="20"/>
                <w:szCs w:val="20"/>
              </w:rPr>
            </w:pPr>
            <w:r w:rsidRPr="00C0463B">
              <w:rPr>
                <w:rFonts w:ascii="Arial" w:hAnsi="Arial" w:cs="Arial"/>
                <w:color w:val="000000"/>
                <w:sz w:val="20"/>
                <w:szCs w:val="20"/>
              </w:rPr>
              <w:t>Spring 2011</w:t>
            </w:r>
          </w:p>
          <w:p w:rsidR="00C0463B" w:rsidRPr="00B22812" w:rsidRDefault="00C0463B" w:rsidP="00C0463B">
            <w:pPr>
              <w:jc w:val="center"/>
              <w:rPr>
                <w:rFonts w:ascii="Arial" w:hAnsi="Arial" w:cs="Arial"/>
                <w:color w:val="000000"/>
                <w:sz w:val="20"/>
                <w:szCs w:val="20"/>
              </w:rPr>
            </w:pPr>
            <w:r w:rsidRPr="00C0463B">
              <w:rPr>
                <w:rFonts w:ascii="Arial" w:hAnsi="Arial" w:cs="Arial"/>
                <w:color w:val="000000"/>
                <w:sz w:val="20"/>
                <w:szCs w:val="20"/>
              </w:rPr>
              <w:t>Online</w:t>
            </w:r>
          </w:p>
        </w:tc>
      </w:tr>
      <w:tr w:rsidR="00C0463B" w:rsidRPr="00C0463B" w:rsidTr="00C0463B">
        <w:trPr>
          <w:trHeight w:val="60"/>
          <w:jc w:val="center"/>
        </w:trPr>
        <w:tc>
          <w:tcPr>
            <w:tcW w:w="1460" w:type="dxa"/>
            <w:tcBorders>
              <w:top w:val="single" w:sz="4" w:space="0" w:color="auto"/>
              <w:left w:val="single" w:sz="4" w:space="0" w:color="auto"/>
              <w:bottom w:val="single" w:sz="4" w:space="0" w:color="auto"/>
              <w:right w:val="nil"/>
            </w:tcBorders>
            <w:shd w:val="clear" w:color="auto" w:fill="auto"/>
            <w:noWrap/>
            <w:vAlign w:val="bottom"/>
            <w:hideMark/>
          </w:tcPr>
          <w:p w:rsidR="00C0463B" w:rsidRPr="00B22812" w:rsidRDefault="00C0463B" w:rsidP="00C0463B">
            <w:pPr>
              <w:rPr>
                <w:rFonts w:ascii="Arial" w:hAnsi="Arial" w:cs="Arial"/>
                <w:color w:val="000000"/>
                <w:sz w:val="20"/>
                <w:szCs w:val="20"/>
              </w:rPr>
            </w:pPr>
          </w:p>
        </w:tc>
        <w:tc>
          <w:tcPr>
            <w:tcW w:w="1915" w:type="dxa"/>
            <w:tcBorders>
              <w:top w:val="single" w:sz="4" w:space="0" w:color="auto"/>
              <w:left w:val="nil"/>
              <w:bottom w:val="single" w:sz="4" w:space="0" w:color="auto"/>
              <w:right w:val="nil"/>
            </w:tcBorders>
            <w:shd w:val="clear" w:color="auto" w:fill="auto"/>
            <w:noWrap/>
            <w:vAlign w:val="bottom"/>
            <w:hideMark/>
          </w:tcPr>
          <w:p w:rsidR="00C0463B" w:rsidRPr="00B22812" w:rsidRDefault="00C0463B" w:rsidP="00C0463B">
            <w:pPr>
              <w:rPr>
                <w:rFonts w:ascii="Arial" w:hAnsi="Arial" w:cs="Arial"/>
                <w:color w:val="000000"/>
                <w:sz w:val="20"/>
                <w:szCs w:val="20"/>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0463B" w:rsidRPr="00B22812" w:rsidRDefault="00C0463B" w:rsidP="00C0463B">
            <w:pPr>
              <w:rPr>
                <w:rFonts w:ascii="Arial" w:hAnsi="Arial" w:cs="Arial"/>
                <w:color w:val="000000"/>
                <w:sz w:val="20"/>
                <w:szCs w:val="20"/>
              </w:rPr>
            </w:pPr>
          </w:p>
        </w:tc>
      </w:tr>
      <w:tr w:rsidR="00C0463B" w:rsidRPr="00C0463B" w:rsidTr="00C0463B">
        <w:trPr>
          <w:trHeight w:val="300"/>
          <w:jc w:val="center"/>
        </w:trPr>
        <w:tc>
          <w:tcPr>
            <w:tcW w:w="1460" w:type="dxa"/>
            <w:tcBorders>
              <w:top w:val="single" w:sz="4" w:space="0" w:color="auto"/>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Course Grade</w:t>
            </w:r>
          </w:p>
        </w:tc>
        <w:tc>
          <w:tcPr>
            <w:tcW w:w="1915" w:type="dxa"/>
            <w:tcBorders>
              <w:top w:val="single" w:sz="4" w:space="0" w:color="auto"/>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83.68%</w:t>
            </w:r>
          </w:p>
        </w:tc>
        <w:tc>
          <w:tcPr>
            <w:tcW w:w="1890" w:type="dxa"/>
            <w:tcBorders>
              <w:top w:val="single" w:sz="4" w:space="0" w:color="auto"/>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83.72%</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Homework</w:t>
            </w:r>
          </w:p>
        </w:tc>
        <w:tc>
          <w:tcPr>
            <w:tcW w:w="1915" w:type="dxa"/>
            <w:tcBorders>
              <w:top w:val="nil"/>
              <w:left w:val="nil"/>
              <w:bottom w:val="nil"/>
              <w:right w:val="nil"/>
            </w:tcBorders>
            <w:shd w:val="clear" w:color="auto" w:fill="auto"/>
            <w:noWrap/>
            <w:vAlign w:val="bottom"/>
            <w:hideMark/>
          </w:tcPr>
          <w:p w:rsidR="00C0463B" w:rsidRPr="00B22812" w:rsidRDefault="00C0463B" w:rsidP="00FA1060">
            <w:pPr>
              <w:jc w:val="center"/>
              <w:rPr>
                <w:rFonts w:ascii="Arial" w:hAnsi="Arial" w:cs="Arial"/>
                <w:color w:val="000000"/>
                <w:sz w:val="20"/>
                <w:szCs w:val="20"/>
              </w:rPr>
            </w:pPr>
            <w:r w:rsidRPr="00B22812">
              <w:rPr>
                <w:rFonts w:ascii="Arial" w:hAnsi="Arial" w:cs="Arial"/>
                <w:color w:val="000000"/>
                <w:sz w:val="20"/>
                <w:szCs w:val="20"/>
              </w:rPr>
              <w:t>8</w:t>
            </w:r>
            <w:r w:rsidR="00FA1060">
              <w:rPr>
                <w:rFonts w:ascii="Arial" w:hAnsi="Arial" w:cs="Arial"/>
                <w:color w:val="000000"/>
                <w:sz w:val="20"/>
                <w:szCs w:val="20"/>
              </w:rPr>
              <w:t>3.64</w:t>
            </w:r>
            <w:r w:rsidRPr="00B22812">
              <w:rPr>
                <w:rFonts w:ascii="Arial" w:hAnsi="Arial" w:cs="Arial"/>
                <w:color w:val="000000"/>
                <w:sz w:val="20"/>
                <w:szCs w:val="20"/>
              </w:rPr>
              <w:t>%</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FA1060" w:rsidP="00C0463B">
            <w:pPr>
              <w:jc w:val="center"/>
              <w:rPr>
                <w:rFonts w:ascii="Arial" w:hAnsi="Arial" w:cs="Arial"/>
                <w:color w:val="000000"/>
                <w:sz w:val="20"/>
                <w:szCs w:val="20"/>
              </w:rPr>
            </w:pPr>
            <w:r>
              <w:rPr>
                <w:rFonts w:ascii="Arial" w:hAnsi="Arial" w:cs="Arial"/>
                <w:color w:val="000000"/>
                <w:sz w:val="20"/>
                <w:szCs w:val="20"/>
              </w:rPr>
              <w:t>89.79</w:t>
            </w:r>
            <w:r w:rsidR="00C0463B" w:rsidRPr="00B22812">
              <w:rPr>
                <w:rFonts w:ascii="Arial" w:hAnsi="Arial" w:cs="Arial"/>
                <w:color w:val="000000"/>
                <w:sz w:val="20"/>
                <w:szCs w:val="20"/>
              </w:rPr>
              <w:t>%</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Discussions</w:t>
            </w:r>
          </w:p>
        </w:tc>
        <w:tc>
          <w:tcPr>
            <w:tcW w:w="1915" w:type="dxa"/>
            <w:tcBorders>
              <w:top w:val="nil"/>
              <w:left w:val="nil"/>
              <w:bottom w:val="nil"/>
              <w:right w:val="nil"/>
            </w:tcBorders>
            <w:shd w:val="clear" w:color="auto" w:fill="auto"/>
            <w:noWrap/>
            <w:vAlign w:val="bottom"/>
            <w:hideMark/>
          </w:tcPr>
          <w:p w:rsidR="00C0463B" w:rsidRPr="00B22812" w:rsidRDefault="00FA1060" w:rsidP="00C0463B">
            <w:pPr>
              <w:jc w:val="center"/>
              <w:rPr>
                <w:rFonts w:ascii="Arial" w:hAnsi="Arial" w:cs="Arial"/>
                <w:color w:val="000000"/>
                <w:sz w:val="20"/>
                <w:szCs w:val="20"/>
              </w:rPr>
            </w:pPr>
            <w:r>
              <w:rPr>
                <w:rFonts w:ascii="Arial" w:hAnsi="Arial" w:cs="Arial"/>
                <w:color w:val="000000"/>
                <w:sz w:val="20"/>
                <w:szCs w:val="20"/>
              </w:rPr>
              <w:t>90.77</w:t>
            </w:r>
            <w:r w:rsidR="00C0463B" w:rsidRPr="00B22812">
              <w:rPr>
                <w:rFonts w:ascii="Arial" w:hAnsi="Arial" w:cs="Arial"/>
                <w:color w:val="000000"/>
                <w:sz w:val="20"/>
                <w:szCs w:val="20"/>
              </w:rPr>
              <w:t>%</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92.00%</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Quizzes</w:t>
            </w:r>
          </w:p>
        </w:tc>
        <w:tc>
          <w:tcPr>
            <w:tcW w:w="1915" w:type="dxa"/>
            <w:tcBorders>
              <w:top w:val="nil"/>
              <w:left w:val="nil"/>
              <w:bottom w:val="nil"/>
              <w:right w:val="nil"/>
            </w:tcBorders>
            <w:shd w:val="clear" w:color="auto" w:fill="auto"/>
            <w:noWrap/>
            <w:vAlign w:val="bottom"/>
            <w:hideMark/>
          </w:tcPr>
          <w:p w:rsidR="00C0463B" w:rsidRPr="00B22812" w:rsidRDefault="00FA1060" w:rsidP="00C0463B">
            <w:pPr>
              <w:jc w:val="center"/>
              <w:rPr>
                <w:rFonts w:ascii="Arial" w:hAnsi="Arial" w:cs="Arial"/>
                <w:color w:val="000000"/>
                <w:sz w:val="20"/>
                <w:szCs w:val="20"/>
              </w:rPr>
            </w:pPr>
            <w:r>
              <w:rPr>
                <w:rFonts w:ascii="Arial" w:hAnsi="Arial" w:cs="Arial"/>
                <w:color w:val="000000"/>
                <w:sz w:val="20"/>
                <w:szCs w:val="20"/>
              </w:rPr>
              <w:t>88.21</w:t>
            </w:r>
            <w:r w:rsidR="00C0463B" w:rsidRPr="00B22812">
              <w:rPr>
                <w:rFonts w:ascii="Arial" w:hAnsi="Arial" w:cs="Arial"/>
                <w:color w:val="000000"/>
                <w:sz w:val="20"/>
                <w:szCs w:val="20"/>
              </w:rPr>
              <w:t>%</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89.28%</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Final Exam</w:t>
            </w: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86.61%</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85.88%</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rPr>
                <w:rFonts w:ascii="Arial" w:hAnsi="Arial" w:cs="Arial"/>
                <w:color w:val="000000"/>
                <w:sz w:val="20"/>
                <w:szCs w:val="20"/>
              </w:rPr>
            </w:pP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DC3B9A" w:rsidRDefault="00C0463B" w:rsidP="00C0463B">
            <w:pPr>
              <w:jc w:val="center"/>
              <w:rPr>
                <w:rFonts w:ascii="Arial" w:hAnsi="Arial" w:cs="Arial"/>
                <w:color w:val="000000"/>
                <w:sz w:val="20"/>
                <w:szCs w:val="20"/>
              </w:rPr>
            </w:pPr>
            <w:r w:rsidRPr="00DC3B9A">
              <w:rPr>
                <w:rFonts w:ascii="Arial" w:hAnsi="Arial" w:cs="Arial"/>
                <w:color w:val="000000"/>
                <w:sz w:val="20"/>
                <w:szCs w:val="20"/>
              </w:rPr>
              <w:t>ABET (o)</w:t>
            </w:r>
            <w:r w:rsidR="001A51C1">
              <w:rPr>
                <w:rFonts w:ascii="Arial" w:hAnsi="Arial" w:cs="Arial"/>
                <w:color w:val="000000"/>
                <w:sz w:val="20"/>
                <w:szCs w:val="20"/>
              </w:rPr>
              <w:t>*</w:t>
            </w:r>
          </w:p>
        </w:tc>
        <w:tc>
          <w:tcPr>
            <w:tcW w:w="1915" w:type="dxa"/>
            <w:tcBorders>
              <w:top w:val="nil"/>
              <w:left w:val="nil"/>
              <w:bottom w:val="nil"/>
              <w:right w:val="nil"/>
            </w:tcBorders>
            <w:shd w:val="clear" w:color="auto" w:fill="auto"/>
            <w:noWrap/>
            <w:vAlign w:val="bottom"/>
            <w:hideMark/>
          </w:tcPr>
          <w:p w:rsidR="00C0463B" w:rsidRPr="00DC3B9A" w:rsidRDefault="00FA1060" w:rsidP="00C0463B">
            <w:pPr>
              <w:jc w:val="center"/>
              <w:rPr>
                <w:rFonts w:ascii="Arial" w:hAnsi="Arial" w:cs="Arial"/>
                <w:color w:val="000000"/>
                <w:sz w:val="20"/>
                <w:szCs w:val="20"/>
              </w:rPr>
            </w:pPr>
            <w:r w:rsidRPr="00DC3B9A">
              <w:rPr>
                <w:rFonts w:ascii="Arial" w:hAnsi="Arial" w:cs="Arial"/>
                <w:color w:val="000000"/>
                <w:sz w:val="20"/>
                <w:szCs w:val="20"/>
              </w:rPr>
              <w:t>88.51</w:t>
            </w:r>
            <w:r w:rsidR="00C0463B" w:rsidRPr="00DC3B9A">
              <w:rPr>
                <w:rFonts w:ascii="Arial" w:hAnsi="Arial" w:cs="Arial"/>
                <w:color w:val="000000"/>
                <w:sz w:val="20"/>
                <w:szCs w:val="20"/>
              </w:rPr>
              <w:t>%</w:t>
            </w:r>
          </w:p>
        </w:tc>
        <w:tc>
          <w:tcPr>
            <w:tcW w:w="1890" w:type="dxa"/>
            <w:tcBorders>
              <w:top w:val="nil"/>
              <w:left w:val="nil"/>
              <w:bottom w:val="nil"/>
              <w:right w:val="single" w:sz="4" w:space="0" w:color="auto"/>
            </w:tcBorders>
            <w:shd w:val="clear" w:color="auto" w:fill="auto"/>
            <w:noWrap/>
            <w:vAlign w:val="bottom"/>
            <w:hideMark/>
          </w:tcPr>
          <w:p w:rsidR="00C0463B" w:rsidRPr="00DC3B9A" w:rsidRDefault="00FA1060" w:rsidP="00C0463B">
            <w:pPr>
              <w:jc w:val="center"/>
              <w:rPr>
                <w:rFonts w:ascii="Arial" w:hAnsi="Arial" w:cs="Arial"/>
                <w:color w:val="000000"/>
                <w:sz w:val="20"/>
                <w:szCs w:val="20"/>
              </w:rPr>
            </w:pPr>
            <w:r w:rsidRPr="00DC3B9A">
              <w:rPr>
                <w:rFonts w:ascii="Arial" w:hAnsi="Arial" w:cs="Arial"/>
                <w:color w:val="000000"/>
                <w:sz w:val="20"/>
                <w:szCs w:val="20"/>
              </w:rPr>
              <w:t>97.90</w:t>
            </w:r>
            <w:r w:rsidR="00C0463B" w:rsidRPr="00DC3B9A">
              <w:rPr>
                <w:rFonts w:ascii="Arial" w:hAnsi="Arial" w:cs="Arial"/>
                <w:color w:val="000000"/>
                <w:sz w:val="20"/>
                <w:szCs w:val="20"/>
              </w:rPr>
              <w:t>%</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Module 1</w:t>
            </w: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95.82%</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95.84%</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Module 2</w:t>
            </w: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87.50%</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90.86%</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Module 3</w:t>
            </w: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69.65%</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77.18%</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Module 4</w:t>
            </w: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87.18%</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82.74%</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Module 5</w:t>
            </w: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72.77%</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83.31%</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Module 6</w:t>
            </w: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85.51%</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72.90%</w:t>
            </w:r>
          </w:p>
        </w:tc>
      </w:tr>
      <w:tr w:rsidR="00C0463B" w:rsidRPr="00C0463B" w:rsidTr="00C0463B">
        <w:trPr>
          <w:trHeight w:val="300"/>
          <w:jc w:val="center"/>
        </w:trPr>
        <w:tc>
          <w:tcPr>
            <w:tcW w:w="1460" w:type="dxa"/>
            <w:tcBorders>
              <w:top w:val="nil"/>
              <w:left w:val="single" w:sz="4" w:space="0" w:color="auto"/>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Module 7</w:t>
            </w:r>
          </w:p>
        </w:tc>
        <w:tc>
          <w:tcPr>
            <w:tcW w:w="1915" w:type="dxa"/>
            <w:tcBorders>
              <w:top w:val="nil"/>
              <w:left w:val="nil"/>
              <w:bottom w:val="nil"/>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77.37%</w:t>
            </w:r>
          </w:p>
        </w:tc>
        <w:tc>
          <w:tcPr>
            <w:tcW w:w="1890" w:type="dxa"/>
            <w:tcBorders>
              <w:top w:val="nil"/>
              <w:left w:val="nil"/>
              <w:bottom w:val="nil"/>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82.38%</w:t>
            </w:r>
          </w:p>
        </w:tc>
      </w:tr>
      <w:tr w:rsidR="00C0463B" w:rsidRPr="00C0463B" w:rsidTr="00C0463B">
        <w:trPr>
          <w:trHeight w:val="300"/>
          <w:jc w:val="center"/>
        </w:trPr>
        <w:tc>
          <w:tcPr>
            <w:tcW w:w="1460" w:type="dxa"/>
            <w:tcBorders>
              <w:top w:val="nil"/>
              <w:left w:val="single" w:sz="4" w:space="0" w:color="auto"/>
              <w:bottom w:val="single" w:sz="4" w:space="0" w:color="auto"/>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Module 8</w:t>
            </w:r>
          </w:p>
        </w:tc>
        <w:tc>
          <w:tcPr>
            <w:tcW w:w="1915" w:type="dxa"/>
            <w:tcBorders>
              <w:top w:val="nil"/>
              <w:left w:val="nil"/>
              <w:bottom w:val="single" w:sz="4" w:space="0" w:color="auto"/>
              <w:right w:val="nil"/>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93.08%</w:t>
            </w:r>
          </w:p>
        </w:tc>
        <w:tc>
          <w:tcPr>
            <w:tcW w:w="1890" w:type="dxa"/>
            <w:tcBorders>
              <w:top w:val="nil"/>
              <w:left w:val="nil"/>
              <w:bottom w:val="single" w:sz="4" w:space="0" w:color="auto"/>
              <w:right w:val="single" w:sz="4" w:space="0" w:color="auto"/>
            </w:tcBorders>
            <w:shd w:val="clear" w:color="auto" w:fill="auto"/>
            <w:noWrap/>
            <w:vAlign w:val="bottom"/>
            <w:hideMark/>
          </w:tcPr>
          <w:p w:rsidR="00C0463B" w:rsidRPr="00B22812" w:rsidRDefault="00C0463B" w:rsidP="00C0463B">
            <w:pPr>
              <w:jc w:val="center"/>
              <w:rPr>
                <w:rFonts w:ascii="Arial" w:hAnsi="Arial" w:cs="Arial"/>
                <w:color w:val="000000"/>
                <w:sz w:val="20"/>
                <w:szCs w:val="20"/>
              </w:rPr>
            </w:pPr>
            <w:r w:rsidRPr="00B22812">
              <w:rPr>
                <w:rFonts w:ascii="Arial" w:hAnsi="Arial" w:cs="Arial"/>
                <w:color w:val="000000"/>
                <w:sz w:val="20"/>
                <w:szCs w:val="20"/>
              </w:rPr>
              <w:t>88.57%</w:t>
            </w:r>
          </w:p>
        </w:tc>
      </w:tr>
    </w:tbl>
    <w:p w:rsidR="00C0463B" w:rsidRPr="001A51C1" w:rsidRDefault="001A51C1" w:rsidP="001A51C1">
      <w:pPr>
        <w:ind w:left="720"/>
        <w:rPr>
          <w:rFonts w:ascii="Arial" w:hAnsi="Arial" w:cs="Arial"/>
          <w:sz w:val="20"/>
          <w:szCs w:val="20"/>
        </w:rPr>
      </w:pPr>
      <w:r>
        <w:t>*</w:t>
      </w:r>
      <w:r w:rsidRPr="001A51C1">
        <w:rPr>
          <w:rFonts w:ascii="Arial" w:hAnsi="Arial" w:cs="Arial"/>
          <w:sz w:val="20"/>
          <w:szCs w:val="20"/>
        </w:rPr>
        <w:t>The ABET (o) score is a found by averaging 4 homework assignments where students use an engineering simulation tool to design and verify a circuit in addition to a quiz that covers the usage of modern CAE tools.</w:t>
      </w:r>
      <w:r>
        <w:rPr>
          <w:rFonts w:ascii="Arial" w:hAnsi="Arial" w:cs="Arial"/>
          <w:sz w:val="20"/>
          <w:szCs w:val="20"/>
        </w:rPr>
        <w:t xml:space="preserve">  This measure is used as a performance indicator for the program’s outcome “o”.</w:t>
      </w:r>
    </w:p>
    <w:p w:rsidR="007B2093" w:rsidRPr="001A51C1" w:rsidRDefault="007B2093" w:rsidP="00C0463B">
      <w:pPr>
        <w:rPr>
          <w:rFonts w:ascii="Arial" w:hAnsi="Arial" w:cs="Arial"/>
          <w:sz w:val="20"/>
        </w:rPr>
      </w:pPr>
    </w:p>
    <w:p w:rsidR="001A51C1" w:rsidRDefault="001A51C1" w:rsidP="00C0463B">
      <w:pPr>
        <w:rPr>
          <w:rFonts w:ascii="Arial" w:hAnsi="Arial" w:cs="Arial"/>
          <w:sz w:val="20"/>
        </w:rPr>
      </w:pPr>
    </w:p>
    <w:p w:rsidR="001A51C1" w:rsidRDefault="001A51C1" w:rsidP="00C0463B">
      <w:pPr>
        <w:rPr>
          <w:rFonts w:ascii="Arial" w:hAnsi="Arial" w:cs="Arial"/>
          <w:sz w:val="20"/>
        </w:rPr>
      </w:pPr>
    </w:p>
    <w:p w:rsidR="00FA1060" w:rsidRPr="001A51C1" w:rsidRDefault="00FA1060" w:rsidP="00C0463B">
      <w:pPr>
        <w:rPr>
          <w:rFonts w:ascii="Arial" w:hAnsi="Arial" w:cs="Arial"/>
          <w:sz w:val="20"/>
        </w:rPr>
      </w:pPr>
      <w:r w:rsidRPr="001A51C1">
        <w:rPr>
          <w:rFonts w:ascii="Arial" w:hAnsi="Arial" w:cs="Arial"/>
          <w:sz w:val="20"/>
        </w:rPr>
        <w:t>The graph below shows these comparisons in graphic form.</w:t>
      </w:r>
    </w:p>
    <w:p w:rsidR="00FA1060" w:rsidRDefault="00FA1060" w:rsidP="00C0463B"/>
    <w:p w:rsidR="00FA1060" w:rsidRDefault="00FA1060" w:rsidP="00FA1060">
      <w:pPr>
        <w:jc w:val="center"/>
      </w:pPr>
      <w:r w:rsidRPr="00FA1060">
        <w:rPr>
          <w:noProof/>
        </w:rPr>
        <w:lastRenderedPageBreak/>
        <w:drawing>
          <wp:inline distT="0" distB="0" distL="0" distR="0">
            <wp:extent cx="3948651" cy="2660512"/>
            <wp:effectExtent l="19050" t="0" r="13749" b="6488"/>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1060" w:rsidRDefault="00FA1060" w:rsidP="00C0463B">
      <w:r>
        <w:tab/>
      </w:r>
    </w:p>
    <w:p w:rsidR="002A7979" w:rsidRDefault="00FA1060" w:rsidP="00C0463B">
      <w:pPr>
        <w:rPr>
          <w:rFonts w:ascii="Arial" w:hAnsi="Arial" w:cs="Arial"/>
          <w:sz w:val="20"/>
        </w:rPr>
      </w:pPr>
      <w:r>
        <w:tab/>
      </w:r>
      <w:proofErr w:type="gramStart"/>
      <w:r w:rsidR="00FC3138">
        <w:rPr>
          <w:rFonts w:ascii="Arial" w:hAnsi="Arial" w:cs="Arial"/>
          <w:sz w:val="20"/>
        </w:rPr>
        <w:t>Figure 2</w:t>
      </w:r>
      <w:r>
        <w:rPr>
          <w:rFonts w:ascii="Arial" w:hAnsi="Arial" w:cs="Arial"/>
          <w:sz w:val="20"/>
        </w:rPr>
        <w:t>.</w:t>
      </w:r>
      <w:proofErr w:type="gramEnd"/>
      <w:r>
        <w:rPr>
          <w:rFonts w:ascii="Arial" w:hAnsi="Arial" w:cs="Arial"/>
          <w:sz w:val="20"/>
        </w:rPr>
        <w:t xml:space="preserve">  Comparison of </w:t>
      </w:r>
      <w:r w:rsidR="002A7979">
        <w:rPr>
          <w:rFonts w:ascii="Arial" w:hAnsi="Arial" w:cs="Arial"/>
          <w:sz w:val="20"/>
        </w:rPr>
        <w:t xml:space="preserve">Averages of </w:t>
      </w:r>
      <w:r w:rsidR="001E45AC">
        <w:rPr>
          <w:rFonts w:ascii="Arial" w:hAnsi="Arial" w:cs="Arial"/>
          <w:sz w:val="20"/>
        </w:rPr>
        <w:t>Graded Components b</w:t>
      </w:r>
      <w:r>
        <w:rPr>
          <w:rFonts w:ascii="Arial" w:hAnsi="Arial" w:cs="Arial"/>
          <w:sz w:val="20"/>
        </w:rPr>
        <w:t xml:space="preserve">etween Face-to-Face </w:t>
      </w:r>
    </w:p>
    <w:p w:rsidR="00FA1060" w:rsidRPr="00FA1060" w:rsidRDefault="002A7979" w:rsidP="00C0463B">
      <w:pPr>
        <w:rPr>
          <w:rFonts w:ascii="Arial" w:hAnsi="Arial" w:cs="Arial"/>
          <w:sz w:val="20"/>
          <w:szCs w:val="20"/>
        </w:rPr>
      </w:pPr>
      <w:r>
        <w:rPr>
          <w:rFonts w:ascii="Arial" w:hAnsi="Arial" w:cs="Arial"/>
          <w:sz w:val="20"/>
        </w:rPr>
        <w:tab/>
      </w:r>
      <w:r>
        <w:rPr>
          <w:rFonts w:ascii="Arial" w:hAnsi="Arial" w:cs="Arial"/>
          <w:sz w:val="20"/>
        </w:rPr>
        <w:tab/>
        <w:t xml:space="preserve">   </w:t>
      </w:r>
      <w:proofErr w:type="gramStart"/>
      <w:r w:rsidR="00FA1060">
        <w:rPr>
          <w:rFonts w:ascii="Arial" w:hAnsi="Arial" w:cs="Arial"/>
          <w:sz w:val="20"/>
        </w:rPr>
        <w:t>and</w:t>
      </w:r>
      <w:proofErr w:type="gramEnd"/>
      <w:r w:rsidR="00FA1060">
        <w:rPr>
          <w:rFonts w:ascii="Arial" w:hAnsi="Arial" w:cs="Arial"/>
          <w:sz w:val="20"/>
        </w:rPr>
        <w:t xml:space="preserve"> Online</w:t>
      </w:r>
      <w:r w:rsidR="001E45AC">
        <w:rPr>
          <w:rFonts w:ascii="Arial" w:hAnsi="Arial" w:cs="Arial"/>
          <w:sz w:val="20"/>
        </w:rPr>
        <w:t xml:space="preserve"> Students</w:t>
      </w:r>
    </w:p>
    <w:p w:rsidR="00FA1060" w:rsidRDefault="00FA1060" w:rsidP="00C0463B"/>
    <w:p w:rsidR="00FA1060" w:rsidRDefault="00FA1060" w:rsidP="00C0463B"/>
    <w:p w:rsidR="007B2093" w:rsidRPr="00AD5BED" w:rsidRDefault="007B2093" w:rsidP="00C0463B">
      <w:pPr>
        <w:rPr>
          <w:rFonts w:ascii="Arial" w:hAnsi="Arial" w:cs="Arial"/>
          <w:sz w:val="20"/>
          <w:szCs w:val="20"/>
        </w:rPr>
      </w:pPr>
      <w:r>
        <w:rPr>
          <w:rFonts w:ascii="Arial" w:hAnsi="Arial" w:cs="Arial"/>
          <w:sz w:val="20"/>
          <w:szCs w:val="20"/>
        </w:rPr>
        <w:t>In regard to the separately graded work in t</w:t>
      </w:r>
      <w:r w:rsidR="00FA1060">
        <w:rPr>
          <w:rFonts w:ascii="Arial" w:hAnsi="Arial" w:cs="Arial"/>
          <w:sz w:val="20"/>
          <w:szCs w:val="20"/>
        </w:rPr>
        <w:t>he course, the grades on the final exam were very similar</w:t>
      </w:r>
      <w:r w:rsidR="001A51C1">
        <w:rPr>
          <w:rFonts w:ascii="Arial" w:hAnsi="Arial" w:cs="Arial"/>
          <w:sz w:val="20"/>
          <w:szCs w:val="20"/>
        </w:rPr>
        <w:t xml:space="preserve"> (no statistical difference)</w:t>
      </w:r>
      <w:r>
        <w:rPr>
          <w:rFonts w:ascii="Arial" w:hAnsi="Arial" w:cs="Arial"/>
          <w:sz w:val="20"/>
          <w:szCs w:val="20"/>
        </w:rPr>
        <w:t>.  The individual module scores vary more than other aspects of the course, with some of the scores higher for the face-to-face group and some higher for the online group.</w:t>
      </w:r>
      <w:r w:rsidR="00AD5BED">
        <w:rPr>
          <w:rFonts w:ascii="Arial" w:hAnsi="Arial" w:cs="Arial"/>
          <w:sz w:val="20"/>
          <w:szCs w:val="20"/>
        </w:rPr>
        <w:t xml:space="preserve"> Using a two-sample t-test, significant differences between the two groups (at </w:t>
      </w:r>
      <w:r w:rsidR="00AD5BED">
        <w:rPr>
          <w:rFonts w:ascii="Arial" w:hAnsi="Arial" w:cs="Arial"/>
          <w:i/>
          <w:sz w:val="20"/>
          <w:szCs w:val="20"/>
        </w:rPr>
        <w:t>p</w:t>
      </w:r>
      <w:r w:rsidR="00AD5BED">
        <w:rPr>
          <w:rFonts w:ascii="Arial" w:hAnsi="Arial" w:cs="Arial"/>
          <w:sz w:val="20"/>
          <w:szCs w:val="20"/>
        </w:rPr>
        <w:t xml:space="preserve"> = .05) were found only for Modules 5 and 6, with the online group scoring significantly higher on Module 5 (</w:t>
      </w:r>
      <w:r w:rsidR="00AD5BED">
        <w:rPr>
          <w:rFonts w:ascii="Arial" w:hAnsi="Arial" w:cs="Arial"/>
          <w:i/>
          <w:sz w:val="20"/>
          <w:szCs w:val="20"/>
        </w:rPr>
        <w:t>p</w:t>
      </w:r>
      <w:r w:rsidR="00AD5BED">
        <w:rPr>
          <w:rFonts w:ascii="Arial" w:hAnsi="Arial" w:cs="Arial"/>
          <w:sz w:val="20"/>
          <w:szCs w:val="20"/>
        </w:rPr>
        <w:t xml:space="preserve"> = .047) and the face-to-face group scoring significantly higher on Module 6 (</w:t>
      </w:r>
      <w:r w:rsidR="00AD5BED">
        <w:rPr>
          <w:rFonts w:ascii="Arial" w:hAnsi="Arial" w:cs="Arial"/>
          <w:i/>
          <w:sz w:val="20"/>
          <w:szCs w:val="20"/>
        </w:rPr>
        <w:t>p</w:t>
      </w:r>
      <w:r w:rsidR="00AD5BED">
        <w:rPr>
          <w:rFonts w:ascii="Arial" w:hAnsi="Arial" w:cs="Arial"/>
          <w:sz w:val="20"/>
          <w:szCs w:val="20"/>
        </w:rPr>
        <w:t xml:space="preserve"> = .017)</w:t>
      </w:r>
    </w:p>
    <w:p w:rsidR="001E45AC" w:rsidRPr="007B2093" w:rsidRDefault="001E45AC" w:rsidP="00C0463B">
      <w:pPr>
        <w:rPr>
          <w:rFonts w:ascii="Arial" w:hAnsi="Arial" w:cs="Arial"/>
          <w:sz w:val="20"/>
          <w:szCs w:val="20"/>
        </w:rPr>
      </w:pPr>
    </w:p>
    <w:p w:rsidR="00C0463B" w:rsidRPr="00383C7C" w:rsidRDefault="002A7979" w:rsidP="002A7979">
      <w:pPr>
        <w:pStyle w:val="SubSection"/>
        <w:jc w:val="center"/>
        <w:rPr>
          <w:rFonts w:cs="Arial"/>
        </w:rPr>
      </w:pPr>
      <w:r w:rsidRPr="002A7979">
        <w:rPr>
          <w:rFonts w:cs="Arial"/>
          <w:noProof/>
          <w:lang w:val="en-US"/>
        </w:rPr>
        <w:drawing>
          <wp:inline distT="0" distB="0" distL="0" distR="0">
            <wp:extent cx="4572000" cy="2745441"/>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7979" w:rsidRDefault="002A7979" w:rsidP="00AC6F08">
      <w:pPr>
        <w:pStyle w:val="Section"/>
        <w:rPr>
          <w:rFonts w:cs="Arial"/>
          <w:b w:val="0"/>
          <w:sz w:val="20"/>
        </w:rPr>
      </w:pPr>
      <w:r>
        <w:rPr>
          <w:rFonts w:cs="Arial"/>
          <w:b w:val="0"/>
          <w:sz w:val="20"/>
        </w:rPr>
        <w:tab/>
      </w:r>
      <w:r>
        <w:rPr>
          <w:rFonts w:cs="Arial"/>
          <w:b w:val="0"/>
          <w:sz w:val="20"/>
        </w:rPr>
        <w:tab/>
      </w:r>
      <w:proofErr w:type="gramStart"/>
      <w:r w:rsidR="00FC3138">
        <w:rPr>
          <w:rFonts w:cs="Arial"/>
          <w:b w:val="0"/>
          <w:sz w:val="20"/>
        </w:rPr>
        <w:t>Figure 3</w:t>
      </w:r>
      <w:r w:rsidRPr="002A7979">
        <w:rPr>
          <w:rFonts w:cs="Arial"/>
          <w:b w:val="0"/>
          <w:sz w:val="20"/>
        </w:rPr>
        <w:t>.</w:t>
      </w:r>
      <w:proofErr w:type="gramEnd"/>
      <w:r w:rsidRPr="002A7979">
        <w:rPr>
          <w:rFonts w:cs="Arial"/>
          <w:b w:val="0"/>
          <w:sz w:val="20"/>
        </w:rPr>
        <w:t xml:space="preserve">  Comparison of </w:t>
      </w:r>
      <w:r>
        <w:rPr>
          <w:rFonts w:cs="Arial"/>
          <w:b w:val="0"/>
          <w:sz w:val="20"/>
        </w:rPr>
        <w:t xml:space="preserve">Module Grade Averages </w:t>
      </w:r>
      <w:r w:rsidR="00AD5BED">
        <w:rPr>
          <w:rFonts w:cs="Arial"/>
          <w:b w:val="0"/>
          <w:sz w:val="20"/>
        </w:rPr>
        <w:t>b</w:t>
      </w:r>
      <w:r w:rsidRPr="002A7979">
        <w:rPr>
          <w:rFonts w:cs="Arial"/>
          <w:b w:val="0"/>
          <w:sz w:val="20"/>
        </w:rPr>
        <w:t>etween Face-to-Face and Online</w:t>
      </w:r>
    </w:p>
    <w:p w:rsidR="002A7979" w:rsidRDefault="002A7979" w:rsidP="002A7979">
      <w:pPr>
        <w:rPr>
          <w:lang w:val="en-GB"/>
        </w:rPr>
      </w:pPr>
    </w:p>
    <w:p w:rsidR="002A7979" w:rsidRPr="002A7979" w:rsidRDefault="002A7979" w:rsidP="002A7979">
      <w:pPr>
        <w:rPr>
          <w:rFonts w:ascii="Arial" w:hAnsi="Arial" w:cs="Arial"/>
          <w:sz w:val="20"/>
          <w:lang w:val="en-GB"/>
        </w:rPr>
      </w:pPr>
      <w:r>
        <w:rPr>
          <w:rFonts w:ascii="Arial" w:hAnsi="Arial" w:cs="Arial"/>
          <w:sz w:val="20"/>
          <w:lang w:val="en-GB"/>
        </w:rPr>
        <w:lastRenderedPageBreak/>
        <w:t>From Figure 1, comparing performance across time, it does not appear that either face-to-face or online students had a tendency to perform more poorly toward the end of the semester.</w:t>
      </w:r>
    </w:p>
    <w:p w:rsidR="002A7979" w:rsidRDefault="001E45AC" w:rsidP="00AC6F08">
      <w:pPr>
        <w:pStyle w:val="Section"/>
        <w:rPr>
          <w:rFonts w:cs="Arial"/>
          <w:sz w:val="24"/>
          <w:szCs w:val="24"/>
        </w:rPr>
      </w:pPr>
      <w:r>
        <w:rPr>
          <w:rFonts w:cs="Arial"/>
          <w:sz w:val="24"/>
          <w:szCs w:val="24"/>
        </w:rPr>
        <w:t>5. Conclusions</w:t>
      </w:r>
    </w:p>
    <w:p w:rsidR="001E45AC" w:rsidRDefault="001E45AC" w:rsidP="001E45AC">
      <w:pPr>
        <w:rPr>
          <w:rFonts w:ascii="Arial" w:hAnsi="Arial" w:cs="Arial"/>
          <w:sz w:val="20"/>
          <w:lang w:val="en-GB"/>
        </w:rPr>
      </w:pPr>
      <w:r>
        <w:rPr>
          <w:rFonts w:ascii="Arial" w:hAnsi="Arial" w:cs="Arial"/>
          <w:sz w:val="20"/>
          <w:lang w:val="en-GB"/>
        </w:rPr>
        <w:t xml:space="preserve">Previous comparisons, both outside and within engineering, have been inconclusive about whether online learning experiences provide students with an advantage or a disadvantage—or neither.  As engineering educators, we are most interested in determining that switching courses from the traditional face-to-face delivery to an online delivery does not compromise student learning.  After all, our main purpose in moving to online delivery for some coursework is to accommodate students’ schedules and geographical location.  </w:t>
      </w:r>
    </w:p>
    <w:p w:rsidR="001E45AC" w:rsidRDefault="001E45AC" w:rsidP="001E45AC">
      <w:pPr>
        <w:rPr>
          <w:rFonts w:ascii="Arial" w:hAnsi="Arial" w:cs="Arial"/>
          <w:sz w:val="20"/>
          <w:lang w:val="en-GB"/>
        </w:rPr>
      </w:pPr>
    </w:p>
    <w:p w:rsidR="00874EA6" w:rsidRDefault="001E45AC" w:rsidP="001E45AC">
      <w:pPr>
        <w:rPr>
          <w:rFonts w:ascii="Arial" w:hAnsi="Arial" w:cs="Arial"/>
          <w:sz w:val="20"/>
          <w:lang w:val="en-GB"/>
        </w:rPr>
      </w:pPr>
      <w:r>
        <w:rPr>
          <w:rFonts w:ascii="Arial" w:hAnsi="Arial" w:cs="Arial"/>
          <w:sz w:val="20"/>
          <w:lang w:val="en-GB"/>
        </w:rPr>
        <w:t>In this study, which compared two versions of the same required electrical engineering course, Introduction to Logic Circuits, using exactly the same instructional materials, it appears that student learning was not compromised in the online delivery version of the course.</w:t>
      </w:r>
      <w:r w:rsidR="00E823AE">
        <w:rPr>
          <w:rFonts w:ascii="Arial" w:hAnsi="Arial" w:cs="Arial"/>
          <w:sz w:val="20"/>
          <w:lang w:val="en-GB"/>
        </w:rPr>
        <w:t xml:space="preserve">  Two groups of </w:t>
      </w:r>
      <w:proofErr w:type="gramStart"/>
      <w:r w:rsidR="00E823AE">
        <w:rPr>
          <w:rFonts w:ascii="Arial" w:hAnsi="Arial" w:cs="Arial"/>
          <w:sz w:val="20"/>
          <w:lang w:val="en-GB"/>
        </w:rPr>
        <w:t>students</w:t>
      </w:r>
      <w:proofErr w:type="gramEnd"/>
      <w:r w:rsidR="00E823AE">
        <w:rPr>
          <w:rFonts w:ascii="Arial" w:hAnsi="Arial" w:cs="Arial"/>
          <w:sz w:val="20"/>
          <w:lang w:val="en-GB"/>
        </w:rPr>
        <w:t xml:space="preserve"> whose overall college grade point averages were no different entering the two versions of the course, received nearly an identical average final grade in the course</w:t>
      </w:r>
      <w:r w:rsidR="00874EA6">
        <w:rPr>
          <w:rFonts w:ascii="Arial" w:hAnsi="Arial" w:cs="Arial"/>
          <w:sz w:val="20"/>
          <w:lang w:val="en-GB"/>
        </w:rPr>
        <w:t xml:space="preserve"> and performed similarly on individual graded components in the course.</w:t>
      </w:r>
    </w:p>
    <w:p w:rsidR="00F9224A" w:rsidRPr="001E45AC" w:rsidRDefault="00874EA6" w:rsidP="001E45AC">
      <w:pPr>
        <w:rPr>
          <w:rFonts w:ascii="Arial" w:hAnsi="Arial" w:cs="Arial"/>
          <w:sz w:val="20"/>
          <w:lang w:val="en-GB"/>
        </w:rPr>
      </w:pPr>
      <w:r w:rsidRPr="001E45AC">
        <w:rPr>
          <w:rFonts w:ascii="Arial" w:hAnsi="Arial" w:cs="Arial"/>
          <w:sz w:val="20"/>
          <w:lang w:val="en-GB"/>
        </w:rPr>
        <w:t xml:space="preserve"> </w:t>
      </w:r>
    </w:p>
    <w:sectPr w:rsidR="00F9224A" w:rsidRPr="001E45AC" w:rsidSect="0082614D">
      <w:headerReference w:type="default" r:id="rId11"/>
      <w:endnotePr>
        <w:numFmt w:val="decimal"/>
      </w:endnotePr>
      <w:type w:val="continuous"/>
      <w:pgSz w:w="11907" w:h="16840" w:code="9"/>
      <w:pgMar w:top="1985"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1C1" w:rsidRDefault="001A51C1">
      <w:r>
        <w:separator/>
      </w:r>
    </w:p>
  </w:endnote>
  <w:endnote w:type="continuationSeparator" w:id="0">
    <w:p w:rsidR="001A51C1" w:rsidRDefault="001A51C1">
      <w:r>
        <w:continuationSeparator/>
      </w:r>
    </w:p>
  </w:endnote>
  <w:endnote w:id="1">
    <w:p w:rsidR="001A51C1" w:rsidRPr="001E45AC" w:rsidRDefault="001A51C1" w:rsidP="001E45AC">
      <w:pPr>
        <w:pStyle w:val="Section"/>
        <w:spacing w:before="0" w:after="0"/>
        <w:rPr>
          <w:rFonts w:cs="Arial"/>
          <w:sz w:val="24"/>
          <w:szCs w:val="24"/>
        </w:rPr>
      </w:pPr>
      <w:r w:rsidRPr="00171AF0">
        <w:rPr>
          <w:rFonts w:cs="Arial"/>
          <w:sz w:val="24"/>
          <w:szCs w:val="24"/>
        </w:rPr>
        <w:t>References</w:t>
      </w:r>
    </w:p>
    <w:p w:rsidR="001A51C1" w:rsidRDefault="001A51C1">
      <w:pPr>
        <w:pStyle w:val="EndnoteText"/>
      </w:pPr>
    </w:p>
    <w:p w:rsidR="001A51C1" w:rsidRDefault="001A51C1">
      <w:pPr>
        <w:pStyle w:val="EndnoteText"/>
      </w:pPr>
      <w:r>
        <w:rPr>
          <w:rStyle w:val="EndnoteReference"/>
        </w:rPr>
        <w:endnoteRef/>
      </w:r>
      <w:r>
        <w:t xml:space="preserve"> </w:t>
      </w:r>
      <w:r>
        <w:rPr>
          <w:rFonts w:ascii="Arial" w:hAnsi="Arial" w:cs="Arial"/>
        </w:rPr>
        <w:t xml:space="preserve">B. Means, Y. Toyama, R. Murphy, M. </w:t>
      </w:r>
      <w:proofErr w:type="spellStart"/>
      <w:r>
        <w:rPr>
          <w:rFonts w:ascii="Arial" w:hAnsi="Arial" w:cs="Arial"/>
        </w:rPr>
        <w:t>Bakia</w:t>
      </w:r>
      <w:proofErr w:type="spellEnd"/>
      <w:r>
        <w:rPr>
          <w:rFonts w:ascii="Arial" w:hAnsi="Arial" w:cs="Arial"/>
        </w:rPr>
        <w:t xml:space="preserve">, and K. Jones, </w:t>
      </w:r>
      <w:r>
        <w:rPr>
          <w:rFonts w:ascii="Arial" w:hAnsi="Arial" w:cs="Arial"/>
          <w:i/>
        </w:rPr>
        <w:t xml:space="preserve">Evaluation of Evidence-Based Practices in Online Learning:  A Meta-Analysis and Review of Online Learning Studies, </w:t>
      </w:r>
      <w:r>
        <w:rPr>
          <w:rFonts w:ascii="Arial" w:hAnsi="Arial" w:cs="Arial"/>
        </w:rPr>
        <w:t>U. S. Department of Education, Office of Planning, Evaluation, and Policy Development, Center for Technology in Learning, September 2010, page xiv.</w:t>
      </w:r>
    </w:p>
  </w:endnote>
  <w:endnote w:id="2">
    <w:p w:rsidR="001A51C1" w:rsidRDefault="001A51C1">
      <w:pPr>
        <w:pStyle w:val="EndnoteText"/>
      </w:pPr>
      <w:r>
        <w:rPr>
          <w:rStyle w:val="EndnoteReference"/>
        </w:rPr>
        <w:endnoteRef/>
      </w:r>
      <w:r>
        <w:t xml:space="preserve"> </w:t>
      </w:r>
      <w:r>
        <w:rPr>
          <w:rFonts w:ascii="Arial" w:hAnsi="Arial" w:cs="Arial"/>
        </w:rPr>
        <w:t xml:space="preserve">A. </w:t>
      </w:r>
      <w:proofErr w:type="spellStart"/>
      <w:r>
        <w:rPr>
          <w:rFonts w:ascii="Arial" w:hAnsi="Arial" w:cs="Arial"/>
        </w:rPr>
        <w:t>Jaggars</w:t>
      </w:r>
      <w:proofErr w:type="spellEnd"/>
      <w:r>
        <w:rPr>
          <w:rFonts w:ascii="Arial" w:hAnsi="Arial" w:cs="Arial"/>
        </w:rPr>
        <w:t xml:space="preserve"> and T. Bailey, </w:t>
      </w:r>
      <w:r>
        <w:rPr>
          <w:rFonts w:ascii="Arial" w:hAnsi="Arial" w:cs="Arial"/>
          <w:i/>
        </w:rPr>
        <w:t xml:space="preserve">Effectiveness of Fully Online Courses for College Students:  Response to a Department of Education Meta-Analysis, </w:t>
      </w:r>
      <w:r>
        <w:rPr>
          <w:rFonts w:ascii="Arial" w:hAnsi="Arial" w:cs="Arial"/>
        </w:rPr>
        <w:t>Community College Research Center, Teachers College, Columbia University, New York, 2010, p. 1.</w:t>
      </w:r>
    </w:p>
  </w:endnote>
  <w:endnote w:id="3">
    <w:p w:rsidR="001A51C1" w:rsidRPr="002508A8" w:rsidRDefault="001A51C1">
      <w:pPr>
        <w:pStyle w:val="EndnoteText"/>
        <w:rPr>
          <w:rFonts w:ascii="Arial" w:hAnsi="Arial" w:cs="Arial"/>
        </w:rPr>
      </w:pPr>
      <w:r>
        <w:rPr>
          <w:rStyle w:val="EndnoteReference"/>
        </w:rPr>
        <w:endnoteRef/>
      </w:r>
      <w:r>
        <w:t xml:space="preserve"> </w:t>
      </w:r>
      <w:proofErr w:type="gramStart"/>
      <w:r>
        <w:rPr>
          <w:rFonts w:ascii="Arial" w:hAnsi="Arial" w:cs="Arial"/>
        </w:rPr>
        <w:t>Ibid.,</w:t>
      </w:r>
      <w:proofErr w:type="gramEnd"/>
      <w:r>
        <w:rPr>
          <w:rFonts w:ascii="Arial" w:hAnsi="Arial" w:cs="Arial"/>
        </w:rPr>
        <w:t xml:space="preserve"> p. 10.</w:t>
      </w:r>
    </w:p>
  </w:endnote>
  <w:endnote w:id="4">
    <w:p w:rsidR="001A51C1" w:rsidRDefault="001A51C1">
      <w:pPr>
        <w:pStyle w:val="EndnoteText"/>
      </w:pPr>
      <w:r>
        <w:rPr>
          <w:rStyle w:val="EndnoteReference"/>
        </w:rPr>
        <w:endnoteRef/>
      </w:r>
      <w:r>
        <w:t xml:space="preserve"> </w:t>
      </w:r>
      <w:r>
        <w:rPr>
          <w:rFonts w:ascii="Arial" w:hAnsi="Arial" w:cs="Arial"/>
        </w:rPr>
        <w:t xml:space="preserve">D. </w:t>
      </w:r>
      <w:proofErr w:type="spellStart"/>
      <w:r>
        <w:rPr>
          <w:rFonts w:ascii="Arial" w:hAnsi="Arial" w:cs="Arial"/>
        </w:rPr>
        <w:t>Figlio</w:t>
      </w:r>
      <w:proofErr w:type="spellEnd"/>
      <w:r>
        <w:rPr>
          <w:rFonts w:ascii="Arial" w:hAnsi="Arial" w:cs="Arial"/>
        </w:rPr>
        <w:t xml:space="preserve">, M. Rush, and L. Yin, </w:t>
      </w:r>
      <w:r>
        <w:rPr>
          <w:rFonts w:ascii="Arial" w:hAnsi="Arial" w:cs="Arial"/>
          <w:i/>
        </w:rPr>
        <w:t xml:space="preserve">Is It Live or Is It Internet?  Experimental Estimates of the Effects of Online Instruction on Student Learning, </w:t>
      </w:r>
      <w:r>
        <w:rPr>
          <w:rFonts w:ascii="Arial" w:hAnsi="Arial" w:cs="Arial"/>
        </w:rPr>
        <w:t>Working Paper 16089, National Bureau of Economic Research, Cambridge, MA, June 2010, p.1.</w:t>
      </w:r>
    </w:p>
  </w:endnote>
  <w:endnote w:id="5">
    <w:p w:rsidR="001A51C1" w:rsidRDefault="001A51C1">
      <w:pPr>
        <w:pStyle w:val="EndnoteText"/>
      </w:pPr>
      <w:r>
        <w:rPr>
          <w:rStyle w:val="EndnoteReference"/>
        </w:rPr>
        <w:endnoteRef/>
      </w:r>
      <w:r>
        <w:t xml:space="preserve"> </w:t>
      </w:r>
      <w:r>
        <w:rPr>
          <w:rFonts w:ascii="Arial" w:hAnsi="Arial" w:cs="Arial"/>
        </w:rPr>
        <w:t xml:space="preserve">B. Means, Y. Toyama, R. Murphy, M. </w:t>
      </w:r>
      <w:proofErr w:type="spellStart"/>
      <w:r>
        <w:rPr>
          <w:rFonts w:ascii="Arial" w:hAnsi="Arial" w:cs="Arial"/>
        </w:rPr>
        <w:t>Bakia</w:t>
      </w:r>
      <w:proofErr w:type="spellEnd"/>
      <w:r>
        <w:rPr>
          <w:rFonts w:ascii="Arial" w:hAnsi="Arial" w:cs="Arial"/>
        </w:rPr>
        <w:t xml:space="preserve">, and K. Jones, </w:t>
      </w:r>
      <w:r>
        <w:rPr>
          <w:rFonts w:ascii="Arial" w:hAnsi="Arial" w:cs="Arial"/>
          <w:i/>
        </w:rPr>
        <w:t xml:space="preserve">Evaluation of Evidence-Based Practices in Online Learning:  A Meta-Analysis and Review of Online Learning Studies, </w:t>
      </w:r>
      <w:r>
        <w:rPr>
          <w:rFonts w:ascii="Arial" w:hAnsi="Arial" w:cs="Arial"/>
        </w:rPr>
        <w:t>U. S. Department of Education, Office of Planning, Evaluation, and Policy Development, Center for Technology in Learning, September 2010, page xv.</w:t>
      </w:r>
    </w:p>
  </w:endnote>
  <w:endnote w:id="6">
    <w:p w:rsidR="001A51C1" w:rsidRDefault="001A51C1">
      <w:pPr>
        <w:pStyle w:val="EndnoteText"/>
      </w:pPr>
      <w:r>
        <w:rPr>
          <w:rStyle w:val="EndnoteReference"/>
        </w:rPr>
        <w:endnoteRef/>
      </w:r>
      <w:r>
        <w:t xml:space="preserve"> </w:t>
      </w:r>
      <w:r>
        <w:rPr>
          <w:rFonts w:ascii="Arial" w:hAnsi="Arial" w:cs="Arial"/>
        </w:rPr>
        <w:t xml:space="preserve">C. </w:t>
      </w:r>
      <w:proofErr w:type="spellStart"/>
      <w:r>
        <w:rPr>
          <w:rFonts w:ascii="Arial" w:hAnsi="Arial" w:cs="Arial"/>
        </w:rPr>
        <w:t>Scherrer</w:t>
      </w:r>
      <w:proofErr w:type="spellEnd"/>
      <w:r>
        <w:rPr>
          <w:rFonts w:ascii="Arial" w:hAnsi="Arial" w:cs="Arial"/>
        </w:rPr>
        <w:t xml:space="preserve">, R. Butler, and S. Burns, “Student Perceptions of On-Line Education,” </w:t>
      </w:r>
      <w:r>
        <w:rPr>
          <w:rFonts w:ascii="Arial" w:hAnsi="Arial" w:cs="Arial"/>
          <w:i/>
        </w:rPr>
        <w:t xml:space="preserve">Advances in Engineering Education, </w:t>
      </w:r>
      <w:proofErr w:type="gramStart"/>
      <w:r>
        <w:rPr>
          <w:rFonts w:ascii="Arial" w:hAnsi="Arial" w:cs="Arial"/>
        </w:rPr>
        <w:t>Summer</w:t>
      </w:r>
      <w:proofErr w:type="gramEnd"/>
      <w:r>
        <w:rPr>
          <w:rFonts w:ascii="Arial" w:hAnsi="Arial" w:cs="Arial"/>
        </w:rPr>
        <w:t xml:space="preserve"> 2010, accessed online 4/28/2011 at </w:t>
      </w:r>
      <w:hyperlink r:id="rId1" w:history="1">
        <w:r w:rsidRPr="00397BB0">
          <w:rPr>
            <w:rStyle w:val="Hyperlink"/>
            <w:rFonts w:ascii="Arial" w:hAnsi="Arial" w:cs="Arial"/>
          </w:rPr>
          <w:t>http://www.asee.org</w:t>
        </w:r>
      </w:hyperlink>
      <w:r>
        <w:rPr>
          <w:rFonts w:ascii="Arial" w:hAnsi="Arial" w:cs="Arial"/>
        </w:rPr>
        <w:t>.</w:t>
      </w:r>
    </w:p>
  </w:endnote>
  <w:endnote w:id="7">
    <w:p w:rsidR="001A51C1" w:rsidRDefault="001A51C1">
      <w:pPr>
        <w:pStyle w:val="EndnoteText"/>
      </w:pPr>
      <w:r>
        <w:rPr>
          <w:rStyle w:val="EndnoteReference"/>
        </w:rPr>
        <w:endnoteRef/>
      </w:r>
      <w:r>
        <w:t xml:space="preserve"> </w:t>
      </w:r>
      <w:r>
        <w:rPr>
          <w:rFonts w:ascii="Arial" w:hAnsi="Arial" w:cs="Arial"/>
        </w:rPr>
        <w:t xml:space="preserve">K. </w:t>
      </w:r>
      <w:proofErr w:type="spellStart"/>
      <w:r>
        <w:rPr>
          <w:rFonts w:ascii="Arial" w:hAnsi="Arial" w:cs="Arial"/>
        </w:rPr>
        <w:t>Varde</w:t>
      </w:r>
      <w:proofErr w:type="spellEnd"/>
      <w:r>
        <w:rPr>
          <w:rFonts w:ascii="Arial" w:hAnsi="Arial" w:cs="Arial"/>
        </w:rPr>
        <w:t xml:space="preserve">, “An Assessment of Performance and Learning Experience of Students in a Distance-Learning Program, </w:t>
      </w:r>
      <w:r>
        <w:rPr>
          <w:rFonts w:ascii="Arial" w:hAnsi="Arial" w:cs="Arial"/>
          <w:i/>
        </w:rPr>
        <w:t xml:space="preserve">Proceedings of the Annual Conference of the American Society for Engineering Education, </w:t>
      </w:r>
      <w:r>
        <w:rPr>
          <w:rFonts w:ascii="Arial" w:hAnsi="Arial" w:cs="Arial"/>
        </w:rPr>
        <w:t>June 2007.</w:t>
      </w:r>
    </w:p>
  </w:endnote>
  <w:endnote w:id="8">
    <w:p w:rsidR="001A51C1" w:rsidRPr="00542703" w:rsidRDefault="001A51C1">
      <w:pPr>
        <w:pStyle w:val="EndnoteText"/>
      </w:pPr>
      <w:r>
        <w:rPr>
          <w:rStyle w:val="EndnoteReference"/>
        </w:rPr>
        <w:endnoteRef/>
      </w:r>
      <w:r>
        <w:t xml:space="preserve"> </w:t>
      </w:r>
      <w:r w:rsidRPr="006C6FC4">
        <w:rPr>
          <w:rFonts w:ascii="Arial" w:hAnsi="Arial" w:cs="Arial"/>
        </w:rPr>
        <w:t xml:space="preserve">J. </w:t>
      </w:r>
      <w:proofErr w:type="spellStart"/>
      <w:r w:rsidRPr="006C6FC4">
        <w:rPr>
          <w:rFonts w:ascii="Arial" w:hAnsi="Arial" w:cs="Arial"/>
        </w:rPr>
        <w:t>Carpinelli</w:t>
      </w:r>
      <w:proofErr w:type="spellEnd"/>
      <w:r w:rsidRPr="006C6FC4">
        <w:rPr>
          <w:rFonts w:ascii="Arial" w:hAnsi="Arial" w:cs="Arial"/>
        </w:rPr>
        <w:t xml:space="preserve">, R. </w:t>
      </w:r>
      <w:proofErr w:type="spellStart"/>
      <w:r w:rsidRPr="006C6FC4">
        <w:rPr>
          <w:rFonts w:ascii="Arial" w:hAnsi="Arial" w:cs="Arial"/>
        </w:rPr>
        <w:t>Calluori</w:t>
      </w:r>
      <w:proofErr w:type="spellEnd"/>
      <w:r w:rsidRPr="006C6FC4">
        <w:rPr>
          <w:rFonts w:ascii="Arial" w:hAnsi="Arial" w:cs="Arial"/>
        </w:rPr>
        <w:t xml:space="preserve">, V. </w:t>
      </w:r>
      <w:proofErr w:type="spellStart"/>
      <w:r w:rsidRPr="006C6FC4">
        <w:rPr>
          <w:rFonts w:ascii="Arial" w:hAnsi="Arial" w:cs="Arial"/>
        </w:rPr>
        <w:t>Br</w:t>
      </w:r>
      <w:r>
        <w:rPr>
          <w:rFonts w:ascii="Arial" w:hAnsi="Arial" w:cs="Arial"/>
        </w:rPr>
        <w:t>iller</w:t>
      </w:r>
      <w:proofErr w:type="spellEnd"/>
      <w:r>
        <w:rPr>
          <w:rFonts w:ascii="Arial" w:hAnsi="Arial" w:cs="Arial"/>
        </w:rPr>
        <w:t xml:space="preserve">, E. </w:t>
      </w:r>
      <w:proofErr w:type="spellStart"/>
      <w:r>
        <w:rPr>
          <w:rFonts w:ascii="Arial" w:hAnsi="Arial" w:cs="Arial"/>
        </w:rPr>
        <w:t>Deess</w:t>
      </w:r>
      <w:proofErr w:type="spellEnd"/>
      <w:r>
        <w:rPr>
          <w:rFonts w:ascii="Arial" w:hAnsi="Arial" w:cs="Arial"/>
        </w:rPr>
        <w:t xml:space="preserve">, and K. Joshi, “Factors Affecting Student Performance and Satisfaction in Distance Learning Courses, </w:t>
      </w:r>
      <w:r>
        <w:rPr>
          <w:rFonts w:ascii="Arial" w:hAnsi="Arial" w:cs="Arial"/>
          <w:i/>
        </w:rPr>
        <w:t xml:space="preserve">Proceedings of the Annual Conference of the American Society for Engineering Education, </w:t>
      </w:r>
      <w:r>
        <w:rPr>
          <w:rFonts w:ascii="Arial" w:hAnsi="Arial" w:cs="Arial"/>
        </w:rPr>
        <w:t>June 2006.</w:t>
      </w:r>
    </w:p>
  </w:endnote>
  <w:endnote w:id="9">
    <w:p w:rsidR="001A51C1" w:rsidRPr="0019135C" w:rsidRDefault="001A51C1">
      <w:pPr>
        <w:pStyle w:val="EndnoteText"/>
        <w:rPr>
          <w:rFonts w:ascii="Arial" w:hAnsi="Arial" w:cs="Arial"/>
        </w:rPr>
      </w:pPr>
      <w:r>
        <w:rPr>
          <w:rStyle w:val="EndnoteReference"/>
        </w:rPr>
        <w:endnoteRef/>
      </w:r>
      <w:r>
        <w:t xml:space="preserve"> </w:t>
      </w:r>
      <w:r>
        <w:rPr>
          <w:rFonts w:ascii="Arial" w:hAnsi="Arial" w:cs="Arial"/>
        </w:rPr>
        <w:t xml:space="preserve">M. </w:t>
      </w:r>
      <w:proofErr w:type="spellStart"/>
      <w:r>
        <w:rPr>
          <w:rFonts w:ascii="Arial" w:hAnsi="Arial" w:cs="Arial"/>
        </w:rPr>
        <w:t>Holdhusen</w:t>
      </w:r>
      <w:proofErr w:type="spellEnd"/>
      <w:r>
        <w:rPr>
          <w:rFonts w:ascii="Arial" w:hAnsi="Arial" w:cs="Arial"/>
        </w:rPr>
        <w:t xml:space="preserve">, “A Comparison of Engineering Graphics Courses Delivered Face to Face, On Line, Via Synchronous Distance Education, and in Hybrid Formats,” </w:t>
      </w:r>
      <w:r>
        <w:rPr>
          <w:rFonts w:ascii="Arial" w:hAnsi="Arial" w:cs="Arial"/>
          <w:i/>
        </w:rPr>
        <w:t xml:space="preserve">Proceedings of the Annual Conference of the American Society for Engineering Education, </w:t>
      </w:r>
      <w:r>
        <w:rPr>
          <w:rFonts w:ascii="Arial" w:hAnsi="Arial" w:cs="Arial"/>
        </w:rPr>
        <w:t>June 2009.</w:t>
      </w:r>
    </w:p>
  </w:endnote>
  <w:endnote w:id="10">
    <w:p w:rsidR="001A51C1" w:rsidRPr="00C6061C" w:rsidRDefault="001A51C1">
      <w:pPr>
        <w:pStyle w:val="EndnoteText"/>
        <w:rPr>
          <w:rFonts w:ascii="Arial" w:hAnsi="Arial" w:cs="Arial"/>
        </w:rPr>
      </w:pPr>
      <w:r>
        <w:rPr>
          <w:rStyle w:val="EndnoteReference"/>
        </w:rPr>
        <w:endnoteRef/>
      </w:r>
      <w:r>
        <w:t xml:space="preserve"> </w:t>
      </w:r>
      <w:r>
        <w:rPr>
          <w:rFonts w:ascii="Arial" w:hAnsi="Arial" w:cs="Arial"/>
        </w:rPr>
        <w:t xml:space="preserve">A. Enriquez, “Assessing the Effectiveness of Dual Delivery Mode in an Online Introductory Circuits Analysis Course,” </w:t>
      </w:r>
      <w:r>
        <w:rPr>
          <w:rFonts w:ascii="Arial" w:hAnsi="Arial" w:cs="Arial"/>
          <w:i/>
        </w:rPr>
        <w:t xml:space="preserve">Proceedings of the Annual Conference of the American Society for Engineering Education, </w:t>
      </w:r>
      <w:r>
        <w:rPr>
          <w:rFonts w:ascii="Arial" w:hAnsi="Arial" w:cs="Arial"/>
        </w:rPr>
        <w:t>June 2010.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1C1" w:rsidRDefault="001A51C1">
      <w:r>
        <w:separator/>
      </w:r>
    </w:p>
  </w:footnote>
  <w:footnote w:type="continuationSeparator" w:id="0">
    <w:p w:rsidR="001A51C1" w:rsidRDefault="001A5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C1" w:rsidRPr="00E315E9" w:rsidRDefault="001A51C1" w:rsidP="00816E27">
    <w:pPr>
      <w:pStyle w:val="Header"/>
      <w:tabs>
        <w:tab w:val="clear" w:pos="4320"/>
        <w:tab w:val="clear" w:pos="8640"/>
        <w:tab w:val="right" w:pos="9360"/>
      </w:tabs>
      <w:rPr>
        <w:rFonts w:ascii="Arial" w:hAnsi="Arial" w:cs="Arial"/>
        <w:b/>
        <w:sz w:val="16"/>
        <w:szCs w:val="16"/>
        <w:lang w:val="en-CA"/>
      </w:rPr>
    </w:pPr>
    <w:r>
      <w:rPr>
        <w:rFonts w:ascii="Arial" w:hAnsi="Arial" w:cs="Arial"/>
        <w:b/>
        <w:sz w:val="16"/>
        <w:szCs w:val="16"/>
        <w:lang w:val="en-C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6625"/>
  </w:hdrShapeDefaults>
  <w:footnotePr>
    <w:footnote w:id="-1"/>
    <w:footnote w:id="0"/>
  </w:footnotePr>
  <w:endnotePr>
    <w:numFmt w:val="decimal"/>
    <w:endnote w:id="-1"/>
    <w:endnote w:id="0"/>
  </w:endnotePr>
  <w:compat>
    <w:useFELayout/>
  </w:compat>
  <w:rsids>
    <w:rsidRoot w:val="00F65BCC"/>
    <w:rsid w:val="00003650"/>
    <w:rsid w:val="00004685"/>
    <w:rsid w:val="000055BD"/>
    <w:rsid w:val="0001475E"/>
    <w:rsid w:val="0002264F"/>
    <w:rsid w:val="00031F2B"/>
    <w:rsid w:val="00034C87"/>
    <w:rsid w:val="00036B4F"/>
    <w:rsid w:val="00037875"/>
    <w:rsid w:val="00042E5F"/>
    <w:rsid w:val="00044737"/>
    <w:rsid w:val="00046A59"/>
    <w:rsid w:val="0005000F"/>
    <w:rsid w:val="000514D7"/>
    <w:rsid w:val="00051709"/>
    <w:rsid w:val="00056D3C"/>
    <w:rsid w:val="000620D4"/>
    <w:rsid w:val="00065824"/>
    <w:rsid w:val="000671B8"/>
    <w:rsid w:val="00073B45"/>
    <w:rsid w:val="00073E7A"/>
    <w:rsid w:val="000759DD"/>
    <w:rsid w:val="000770FC"/>
    <w:rsid w:val="00080112"/>
    <w:rsid w:val="00080CEF"/>
    <w:rsid w:val="00080FDA"/>
    <w:rsid w:val="0009419E"/>
    <w:rsid w:val="0009594A"/>
    <w:rsid w:val="000B01FC"/>
    <w:rsid w:val="000B3FCA"/>
    <w:rsid w:val="000C6291"/>
    <w:rsid w:val="000C65CB"/>
    <w:rsid w:val="000C7179"/>
    <w:rsid w:val="000C72A6"/>
    <w:rsid w:val="000C74BF"/>
    <w:rsid w:val="000C7A0C"/>
    <w:rsid w:val="000D08B5"/>
    <w:rsid w:val="000D4941"/>
    <w:rsid w:val="000D4ADD"/>
    <w:rsid w:val="000E0A02"/>
    <w:rsid w:val="000F2A6B"/>
    <w:rsid w:val="000F3E66"/>
    <w:rsid w:val="0010165E"/>
    <w:rsid w:val="00104EF5"/>
    <w:rsid w:val="0011330F"/>
    <w:rsid w:val="00113A5B"/>
    <w:rsid w:val="00116C70"/>
    <w:rsid w:val="001204DA"/>
    <w:rsid w:val="00134DB0"/>
    <w:rsid w:val="00143FC9"/>
    <w:rsid w:val="00150B2E"/>
    <w:rsid w:val="00150BE6"/>
    <w:rsid w:val="001533E7"/>
    <w:rsid w:val="001537C1"/>
    <w:rsid w:val="001569C4"/>
    <w:rsid w:val="0015709D"/>
    <w:rsid w:val="00160C26"/>
    <w:rsid w:val="00161455"/>
    <w:rsid w:val="00163E2A"/>
    <w:rsid w:val="00166BDA"/>
    <w:rsid w:val="00171006"/>
    <w:rsid w:val="00171AF0"/>
    <w:rsid w:val="00174152"/>
    <w:rsid w:val="001776EF"/>
    <w:rsid w:val="001801F8"/>
    <w:rsid w:val="00184CE5"/>
    <w:rsid w:val="00184EDC"/>
    <w:rsid w:val="001851A9"/>
    <w:rsid w:val="0019135C"/>
    <w:rsid w:val="00197309"/>
    <w:rsid w:val="0019748A"/>
    <w:rsid w:val="001A279E"/>
    <w:rsid w:val="001A327E"/>
    <w:rsid w:val="001A51C1"/>
    <w:rsid w:val="001A6E1F"/>
    <w:rsid w:val="001A714F"/>
    <w:rsid w:val="001A7F28"/>
    <w:rsid w:val="001B0DB2"/>
    <w:rsid w:val="001B124E"/>
    <w:rsid w:val="001C0FC4"/>
    <w:rsid w:val="001C2DD0"/>
    <w:rsid w:val="001D1759"/>
    <w:rsid w:val="001D20C6"/>
    <w:rsid w:val="001D287B"/>
    <w:rsid w:val="001D4A5A"/>
    <w:rsid w:val="001E03C6"/>
    <w:rsid w:val="001E1580"/>
    <w:rsid w:val="001E20DC"/>
    <w:rsid w:val="001E45AC"/>
    <w:rsid w:val="001E4AF2"/>
    <w:rsid w:val="00200FAF"/>
    <w:rsid w:val="002139DB"/>
    <w:rsid w:val="0021705B"/>
    <w:rsid w:val="00217A4E"/>
    <w:rsid w:val="00220457"/>
    <w:rsid w:val="00222F91"/>
    <w:rsid w:val="00226293"/>
    <w:rsid w:val="00236FB5"/>
    <w:rsid w:val="0024146D"/>
    <w:rsid w:val="00250499"/>
    <w:rsid w:val="002508A8"/>
    <w:rsid w:val="00256DBD"/>
    <w:rsid w:val="0025736E"/>
    <w:rsid w:val="00266503"/>
    <w:rsid w:val="002743B1"/>
    <w:rsid w:val="002748E5"/>
    <w:rsid w:val="00277045"/>
    <w:rsid w:val="002774BF"/>
    <w:rsid w:val="0028055D"/>
    <w:rsid w:val="00281BCF"/>
    <w:rsid w:val="00282FCC"/>
    <w:rsid w:val="00284AB2"/>
    <w:rsid w:val="00284C46"/>
    <w:rsid w:val="00286BB2"/>
    <w:rsid w:val="002876E2"/>
    <w:rsid w:val="00294E40"/>
    <w:rsid w:val="00295587"/>
    <w:rsid w:val="002A547D"/>
    <w:rsid w:val="002A7979"/>
    <w:rsid w:val="002A7E36"/>
    <w:rsid w:val="002B1F5B"/>
    <w:rsid w:val="002B2799"/>
    <w:rsid w:val="002B3EF4"/>
    <w:rsid w:val="002B708D"/>
    <w:rsid w:val="002C08D6"/>
    <w:rsid w:val="002C2707"/>
    <w:rsid w:val="002C2935"/>
    <w:rsid w:val="002C2D9B"/>
    <w:rsid w:val="002C3645"/>
    <w:rsid w:val="002C465B"/>
    <w:rsid w:val="002C4ECB"/>
    <w:rsid w:val="002C600D"/>
    <w:rsid w:val="002C6212"/>
    <w:rsid w:val="002E05E2"/>
    <w:rsid w:val="002E1148"/>
    <w:rsid w:val="002E2E03"/>
    <w:rsid w:val="002E3D6B"/>
    <w:rsid w:val="002E54CB"/>
    <w:rsid w:val="002E68DC"/>
    <w:rsid w:val="002F0241"/>
    <w:rsid w:val="003005C4"/>
    <w:rsid w:val="003022C8"/>
    <w:rsid w:val="0030510E"/>
    <w:rsid w:val="0031052D"/>
    <w:rsid w:val="00310B66"/>
    <w:rsid w:val="00311ADD"/>
    <w:rsid w:val="00312080"/>
    <w:rsid w:val="00312387"/>
    <w:rsid w:val="00313059"/>
    <w:rsid w:val="003145D8"/>
    <w:rsid w:val="00316E09"/>
    <w:rsid w:val="00317CDC"/>
    <w:rsid w:val="00321901"/>
    <w:rsid w:val="0033196B"/>
    <w:rsid w:val="00333A91"/>
    <w:rsid w:val="00337C3C"/>
    <w:rsid w:val="00341243"/>
    <w:rsid w:val="00344356"/>
    <w:rsid w:val="00346357"/>
    <w:rsid w:val="003467AC"/>
    <w:rsid w:val="00350E27"/>
    <w:rsid w:val="00375827"/>
    <w:rsid w:val="00381099"/>
    <w:rsid w:val="00383C7C"/>
    <w:rsid w:val="00387F2A"/>
    <w:rsid w:val="0039025C"/>
    <w:rsid w:val="00391FB1"/>
    <w:rsid w:val="00394528"/>
    <w:rsid w:val="0039595D"/>
    <w:rsid w:val="00395D5C"/>
    <w:rsid w:val="003968E2"/>
    <w:rsid w:val="003A2001"/>
    <w:rsid w:val="003A48BA"/>
    <w:rsid w:val="003A4902"/>
    <w:rsid w:val="003A4CC0"/>
    <w:rsid w:val="003C0F3E"/>
    <w:rsid w:val="003C1CDC"/>
    <w:rsid w:val="003C6508"/>
    <w:rsid w:val="003D101D"/>
    <w:rsid w:val="003D2839"/>
    <w:rsid w:val="003D30F0"/>
    <w:rsid w:val="003D76EA"/>
    <w:rsid w:val="003E0068"/>
    <w:rsid w:val="003E2317"/>
    <w:rsid w:val="003E4771"/>
    <w:rsid w:val="003E6F40"/>
    <w:rsid w:val="003F6EBE"/>
    <w:rsid w:val="004018E3"/>
    <w:rsid w:val="004037D2"/>
    <w:rsid w:val="00412AB7"/>
    <w:rsid w:val="00431ACF"/>
    <w:rsid w:val="00434D41"/>
    <w:rsid w:val="004350CB"/>
    <w:rsid w:val="0044124B"/>
    <w:rsid w:val="00442FFD"/>
    <w:rsid w:val="0044302F"/>
    <w:rsid w:val="00446215"/>
    <w:rsid w:val="00452C39"/>
    <w:rsid w:val="00460D99"/>
    <w:rsid w:val="00463F2D"/>
    <w:rsid w:val="00470578"/>
    <w:rsid w:val="00471302"/>
    <w:rsid w:val="0047532D"/>
    <w:rsid w:val="00475665"/>
    <w:rsid w:val="00477C69"/>
    <w:rsid w:val="00481187"/>
    <w:rsid w:val="00482C90"/>
    <w:rsid w:val="0048486A"/>
    <w:rsid w:val="004851DA"/>
    <w:rsid w:val="00492A34"/>
    <w:rsid w:val="00494ECC"/>
    <w:rsid w:val="00495AD0"/>
    <w:rsid w:val="0049653C"/>
    <w:rsid w:val="004A5C92"/>
    <w:rsid w:val="004B0D4D"/>
    <w:rsid w:val="004B2112"/>
    <w:rsid w:val="004B680D"/>
    <w:rsid w:val="004C7A27"/>
    <w:rsid w:val="004D0A62"/>
    <w:rsid w:val="004D0AEA"/>
    <w:rsid w:val="004D3767"/>
    <w:rsid w:val="004E0C5F"/>
    <w:rsid w:val="004E1521"/>
    <w:rsid w:val="004E4832"/>
    <w:rsid w:val="004E6548"/>
    <w:rsid w:val="004F2702"/>
    <w:rsid w:val="004F4ACB"/>
    <w:rsid w:val="005002C3"/>
    <w:rsid w:val="005100E4"/>
    <w:rsid w:val="00511039"/>
    <w:rsid w:val="00515CB2"/>
    <w:rsid w:val="00520C61"/>
    <w:rsid w:val="0052472A"/>
    <w:rsid w:val="0052495E"/>
    <w:rsid w:val="0052634C"/>
    <w:rsid w:val="00534691"/>
    <w:rsid w:val="00537E6B"/>
    <w:rsid w:val="00540B46"/>
    <w:rsid w:val="00541A99"/>
    <w:rsid w:val="00542703"/>
    <w:rsid w:val="0055469D"/>
    <w:rsid w:val="0055545D"/>
    <w:rsid w:val="0055594D"/>
    <w:rsid w:val="00556B38"/>
    <w:rsid w:val="00564E87"/>
    <w:rsid w:val="00567676"/>
    <w:rsid w:val="0057458D"/>
    <w:rsid w:val="005829E5"/>
    <w:rsid w:val="005854DD"/>
    <w:rsid w:val="005911C9"/>
    <w:rsid w:val="00591515"/>
    <w:rsid w:val="00595512"/>
    <w:rsid w:val="0059619B"/>
    <w:rsid w:val="00596E99"/>
    <w:rsid w:val="005A2B3A"/>
    <w:rsid w:val="005B01CC"/>
    <w:rsid w:val="005B270A"/>
    <w:rsid w:val="005B2986"/>
    <w:rsid w:val="005B3BDE"/>
    <w:rsid w:val="005B3F25"/>
    <w:rsid w:val="005C2FB4"/>
    <w:rsid w:val="005D10D8"/>
    <w:rsid w:val="005D27E0"/>
    <w:rsid w:val="005D3ADC"/>
    <w:rsid w:val="005E4A2C"/>
    <w:rsid w:val="005F61D6"/>
    <w:rsid w:val="0060438D"/>
    <w:rsid w:val="006051CB"/>
    <w:rsid w:val="00605D8A"/>
    <w:rsid w:val="0061383A"/>
    <w:rsid w:val="0061420E"/>
    <w:rsid w:val="00622795"/>
    <w:rsid w:val="006252D0"/>
    <w:rsid w:val="0062624D"/>
    <w:rsid w:val="00627F7B"/>
    <w:rsid w:val="00632389"/>
    <w:rsid w:val="00634859"/>
    <w:rsid w:val="0064157C"/>
    <w:rsid w:val="00642DAF"/>
    <w:rsid w:val="00646D0F"/>
    <w:rsid w:val="00647FA5"/>
    <w:rsid w:val="006518EA"/>
    <w:rsid w:val="006528D2"/>
    <w:rsid w:val="00673CCF"/>
    <w:rsid w:val="00675E21"/>
    <w:rsid w:val="00693C60"/>
    <w:rsid w:val="00694214"/>
    <w:rsid w:val="00694D80"/>
    <w:rsid w:val="006971B6"/>
    <w:rsid w:val="006977B6"/>
    <w:rsid w:val="006A31F3"/>
    <w:rsid w:val="006A3C24"/>
    <w:rsid w:val="006A4E41"/>
    <w:rsid w:val="006A579C"/>
    <w:rsid w:val="006A6EAF"/>
    <w:rsid w:val="006B386A"/>
    <w:rsid w:val="006C38EE"/>
    <w:rsid w:val="006C5893"/>
    <w:rsid w:val="006C6FC4"/>
    <w:rsid w:val="006D04BA"/>
    <w:rsid w:val="006D2940"/>
    <w:rsid w:val="006D446E"/>
    <w:rsid w:val="006D5EE6"/>
    <w:rsid w:val="006D6FDE"/>
    <w:rsid w:val="006D795F"/>
    <w:rsid w:val="006D7C3D"/>
    <w:rsid w:val="006E124F"/>
    <w:rsid w:val="006E2670"/>
    <w:rsid w:val="006E381C"/>
    <w:rsid w:val="006F4A61"/>
    <w:rsid w:val="006F5609"/>
    <w:rsid w:val="006F73C5"/>
    <w:rsid w:val="00704D4D"/>
    <w:rsid w:val="0070600F"/>
    <w:rsid w:val="0070708F"/>
    <w:rsid w:val="007076FF"/>
    <w:rsid w:val="00707EC6"/>
    <w:rsid w:val="0071302B"/>
    <w:rsid w:val="0071491D"/>
    <w:rsid w:val="00715BA5"/>
    <w:rsid w:val="00716650"/>
    <w:rsid w:val="00720021"/>
    <w:rsid w:val="00722E5F"/>
    <w:rsid w:val="00723B9D"/>
    <w:rsid w:val="00725C77"/>
    <w:rsid w:val="00731B37"/>
    <w:rsid w:val="00732833"/>
    <w:rsid w:val="007338EA"/>
    <w:rsid w:val="00736C53"/>
    <w:rsid w:val="00743E5D"/>
    <w:rsid w:val="00751482"/>
    <w:rsid w:val="0076208B"/>
    <w:rsid w:val="007628DA"/>
    <w:rsid w:val="0076333F"/>
    <w:rsid w:val="007634C6"/>
    <w:rsid w:val="00763D76"/>
    <w:rsid w:val="007649F1"/>
    <w:rsid w:val="00782CAF"/>
    <w:rsid w:val="00782FFC"/>
    <w:rsid w:val="007853F2"/>
    <w:rsid w:val="00794555"/>
    <w:rsid w:val="0079777E"/>
    <w:rsid w:val="007A1DC9"/>
    <w:rsid w:val="007A7F21"/>
    <w:rsid w:val="007B0A2F"/>
    <w:rsid w:val="007B2093"/>
    <w:rsid w:val="007C1B68"/>
    <w:rsid w:val="007C2607"/>
    <w:rsid w:val="007C2A0A"/>
    <w:rsid w:val="007C4BD6"/>
    <w:rsid w:val="007D0BB0"/>
    <w:rsid w:val="007D4A62"/>
    <w:rsid w:val="007E507C"/>
    <w:rsid w:val="007F0666"/>
    <w:rsid w:val="007F11EA"/>
    <w:rsid w:val="007F22B5"/>
    <w:rsid w:val="008020AE"/>
    <w:rsid w:val="00803A53"/>
    <w:rsid w:val="00805476"/>
    <w:rsid w:val="00813A14"/>
    <w:rsid w:val="008145F6"/>
    <w:rsid w:val="00816E27"/>
    <w:rsid w:val="00817FB2"/>
    <w:rsid w:val="0082209F"/>
    <w:rsid w:val="00822B2F"/>
    <w:rsid w:val="0082614D"/>
    <w:rsid w:val="0082731C"/>
    <w:rsid w:val="00827CC1"/>
    <w:rsid w:val="00827D08"/>
    <w:rsid w:val="008311D0"/>
    <w:rsid w:val="008314E7"/>
    <w:rsid w:val="00832EF6"/>
    <w:rsid w:val="00833255"/>
    <w:rsid w:val="00835633"/>
    <w:rsid w:val="00840BE2"/>
    <w:rsid w:val="00861BFF"/>
    <w:rsid w:val="0086429D"/>
    <w:rsid w:val="00865C76"/>
    <w:rsid w:val="008701A7"/>
    <w:rsid w:val="00874EA6"/>
    <w:rsid w:val="00880A4B"/>
    <w:rsid w:val="00882413"/>
    <w:rsid w:val="0088397B"/>
    <w:rsid w:val="00887E75"/>
    <w:rsid w:val="008921D1"/>
    <w:rsid w:val="00892F6E"/>
    <w:rsid w:val="008A0C81"/>
    <w:rsid w:val="008A1A8B"/>
    <w:rsid w:val="008A2979"/>
    <w:rsid w:val="008A33FE"/>
    <w:rsid w:val="008B49D6"/>
    <w:rsid w:val="008B75C3"/>
    <w:rsid w:val="008C0147"/>
    <w:rsid w:val="008C38DF"/>
    <w:rsid w:val="008D0351"/>
    <w:rsid w:val="008D10EE"/>
    <w:rsid w:val="008D20E8"/>
    <w:rsid w:val="008E4654"/>
    <w:rsid w:val="008F0A08"/>
    <w:rsid w:val="008F1C16"/>
    <w:rsid w:val="008F5AB0"/>
    <w:rsid w:val="00900DBA"/>
    <w:rsid w:val="00901C81"/>
    <w:rsid w:val="0090673C"/>
    <w:rsid w:val="009108B3"/>
    <w:rsid w:val="009133D6"/>
    <w:rsid w:val="00916199"/>
    <w:rsid w:val="009178BF"/>
    <w:rsid w:val="00922E1F"/>
    <w:rsid w:val="009275CF"/>
    <w:rsid w:val="009317C9"/>
    <w:rsid w:val="0094081D"/>
    <w:rsid w:val="00940D05"/>
    <w:rsid w:val="009414FE"/>
    <w:rsid w:val="00942DCE"/>
    <w:rsid w:val="009460F3"/>
    <w:rsid w:val="00947FB8"/>
    <w:rsid w:val="00951A70"/>
    <w:rsid w:val="0095254D"/>
    <w:rsid w:val="00955AD9"/>
    <w:rsid w:val="00961261"/>
    <w:rsid w:val="00961305"/>
    <w:rsid w:val="00964E89"/>
    <w:rsid w:val="0096541A"/>
    <w:rsid w:val="00971A84"/>
    <w:rsid w:val="00972423"/>
    <w:rsid w:val="00974CB9"/>
    <w:rsid w:val="00977185"/>
    <w:rsid w:val="00981EA8"/>
    <w:rsid w:val="00982415"/>
    <w:rsid w:val="00983BC6"/>
    <w:rsid w:val="00984366"/>
    <w:rsid w:val="00984CDA"/>
    <w:rsid w:val="00986B75"/>
    <w:rsid w:val="00987299"/>
    <w:rsid w:val="00990A4D"/>
    <w:rsid w:val="009976E9"/>
    <w:rsid w:val="009A168A"/>
    <w:rsid w:val="009A260A"/>
    <w:rsid w:val="009A48BE"/>
    <w:rsid w:val="009A58C5"/>
    <w:rsid w:val="009A5997"/>
    <w:rsid w:val="009B216C"/>
    <w:rsid w:val="009B3B75"/>
    <w:rsid w:val="009B61B8"/>
    <w:rsid w:val="009B6593"/>
    <w:rsid w:val="009B7601"/>
    <w:rsid w:val="009C6303"/>
    <w:rsid w:val="009D1590"/>
    <w:rsid w:val="009D23B8"/>
    <w:rsid w:val="009D5FAE"/>
    <w:rsid w:val="009D6168"/>
    <w:rsid w:val="009E4EA2"/>
    <w:rsid w:val="009E61E5"/>
    <w:rsid w:val="009F1790"/>
    <w:rsid w:val="009F3C2C"/>
    <w:rsid w:val="009F47A4"/>
    <w:rsid w:val="00A01112"/>
    <w:rsid w:val="00A01A61"/>
    <w:rsid w:val="00A0473B"/>
    <w:rsid w:val="00A10421"/>
    <w:rsid w:val="00A15F38"/>
    <w:rsid w:val="00A208EE"/>
    <w:rsid w:val="00A24D28"/>
    <w:rsid w:val="00A307A8"/>
    <w:rsid w:val="00A327FF"/>
    <w:rsid w:val="00A3554D"/>
    <w:rsid w:val="00A360C3"/>
    <w:rsid w:val="00A3639C"/>
    <w:rsid w:val="00A365CA"/>
    <w:rsid w:val="00A422AC"/>
    <w:rsid w:val="00A4728B"/>
    <w:rsid w:val="00A47A1E"/>
    <w:rsid w:val="00A54FF5"/>
    <w:rsid w:val="00A555B3"/>
    <w:rsid w:val="00A61759"/>
    <w:rsid w:val="00A6290F"/>
    <w:rsid w:val="00A706D7"/>
    <w:rsid w:val="00A70A78"/>
    <w:rsid w:val="00A70AD9"/>
    <w:rsid w:val="00A70CE9"/>
    <w:rsid w:val="00A73D6C"/>
    <w:rsid w:val="00A74DDE"/>
    <w:rsid w:val="00A76C84"/>
    <w:rsid w:val="00A77261"/>
    <w:rsid w:val="00A813C0"/>
    <w:rsid w:val="00A81B69"/>
    <w:rsid w:val="00A834E0"/>
    <w:rsid w:val="00A83ABC"/>
    <w:rsid w:val="00A912E4"/>
    <w:rsid w:val="00A91C9B"/>
    <w:rsid w:val="00A964AB"/>
    <w:rsid w:val="00AA2693"/>
    <w:rsid w:val="00AA6849"/>
    <w:rsid w:val="00AA7396"/>
    <w:rsid w:val="00AB1AFD"/>
    <w:rsid w:val="00AB2903"/>
    <w:rsid w:val="00AB38D3"/>
    <w:rsid w:val="00AB73B2"/>
    <w:rsid w:val="00AC07C0"/>
    <w:rsid w:val="00AC11AC"/>
    <w:rsid w:val="00AC2C2F"/>
    <w:rsid w:val="00AC3961"/>
    <w:rsid w:val="00AC3E18"/>
    <w:rsid w:val="00AC6F08"/>
    <w:rsid w:val="00AC7000"/>
    <w:rsid w:val="00AC717E"/>
    <w:rsid w:val="00AD366F"/>
    <w:rsid w:val="00AD4D77"/>
    <w:rsid w:val="00AD5B2D"/>
    <w:rsid w:val="00AD5BED"/>
    <w:rsid w:val="00AE14CC"/>
    <w:rsid w:val="00AE185A"/>
    <w:rsid w:val="00AE1F74"/>
    <w:rsid w:val="00AE296F"/>
    <w:rsid w:val="00AE4A96"/>
    <w:rsid w:val="00AE528C"/>
    <w:rsid w:val="00AE5B91"/>
    <w:rsid w:val="00AE72BC"/>
    <w:rsid w:val="00AF322F"/>
    <w:rsid w:val="00AF4B18"/>
    <w:rsid w:val="00B01A34"/>
    <w:rsid w:val="00B05A7B"/>
    <w:rsid w:val="00B077C7"/>
    <w:rsid w:val="00B11B50"/>
    <w:rsid w:val="00B12316"/>
    <w:rsid w:val="00B1385C"/>
    <w:rsid w:val="00B141FC"/>
    <w:rsid w:val="00B157E0"/>
    <w:rsid w:val="00B15B3D"/>
    <w:rsid w:val="00B2591C"/>
    <w:rsid w:val="00B37B64"/>
    <w:rsid w:val="00B436CD"/>
    <w:rsid w:val="00B51679"/>
    <w:rsid w:val="00B51749"/>
    <w:rsid w:val="00B52ABE"/>
    <w:rsid w:val="00B66E31"/>
    <w:rsid w:val="00B67D58"/>
    <w:rsid w:val="00B7564C"/>
    <w:rsid w:val="00B762B4"/>
    <w:rsid w:val="00B801F7"/>
    <w:rsid w:val="00B824A2"/>
    <w:rsid w:val="00B82587"/>
    <w:rsid w:val="00B86A60"/>
    <w:rsid w:val="00B8774D"/>
    <w:rsid w:val="00B91370"/>
    <w:rsid w:val="00B932D7"/>
    <w:rsid w:val="00B9365A"/>
    <w:rsid w:val="00B94502"/>
    <w:rsid w:val="00BA21E0"/>
    <w:rsid w:val="00BA34EB"/>
    <w:rsid w:val="00BA4D9F"/>
    <w:rsid w:val="00BB0D6B"/>
    <w:rsid w:val="00BB1C3E"/>
    <w:rsid w:val="00BB5A37"/>
    <w:rsid w:val="00BB6C4B"/>
    <w:rsid w:val="00BC054F"/>
    <w:rsid w:val="00BC0E3F"/>
    <w:rsid w:val="00BC22C4"/>
    <w:rsid w:val="00BC31C7"/>
    <w:rsid w:val="00BC52D3"/>
    <w:rsid w:val="00BC7062"/>
    <w:rsid w:val="00BD1326"/>
    <w:rsid w:val="00BD37BF"/>
    <w:rsid w:val="00BD43E6"/>
    <w:rsid w:val="00BD58D6"/>
    <w:rsid w:val="00BE12D2"/>
    <w:rsid w:val="00BE2D06"/>
    <w:rsid w:val="00BE3A2E"/>
    <w:rsid w:val="00BE5FCD"/>
    <w:rsid w:val="00BE7205"/>
    <w:rsid w:val="00BF527A"/>
    <w:rsid w:val="00BF7F8F"/>
    <w:rsid w:val="00C020FF"/>
    <w:rsid w:val="00C0280D"/>
    <w:rsid w:val="00C04254"/>
    <w:rsid w:val="00C0463B"/>
    <w:rsid w:val="00C05ECB"/>
    <w:rsid w:val="00C137CC"/>
    <w:rsid w:val="00C147CF"/>
    <w:rsid w:val="00C14A29"/>
    <w:rsid w:val="00C16BE7"/>
    <w:rsid w:val="00C22225"/>
    <w:rsid w:val="00C26FEF"/>
    <w:rsid w:val="00C33023"/>
    <w:rsid w:val="00C34F34"/>
    <w:rsid w:val="00C35308"/>
    <w:rsid w:val="00C35DF6"/>
    <w:rsid w:val="00C37EC7"/>
    <w:rsid w:val="00C40A63"/>
    <w:rsid w:val="00C40D95"/>
    <w:rsid w:val="00C461AE"/>
    <w:rsid w:val="00C50EF4"/>
    <w:rsid w:val="00C522A9"/>
    <w:rsid w:val="00C57248"/>
    <w:rsid w:val="00C57BF5"/>
    <w:rsid w:val="00C6061C"/>
    <w:rsid w:val="00C6188D"/>
    <w:rsid w:val="00C625F8"/>
    <w:rsid w:val="00C62DAB"/>
    <w:rsid w:val="00C64493"/>
    <w:rsid w:val="00C74191"/>
    <w:rsid w:val="00C74AD2"/>
    <w:rsid w:val="00C7545E"/>
    <w:rsid w:val="00C77B0B"/>
    <w:rsid w:val="00C822FC"/>
    <w:rsid w:val="00C847F6"/>
    <w:rsid w:val="00C917F7"/>
    <w:rsid w:val="00C93DD0"/>
    <w:rsid w:val="00C95B45"/>
    <w:rsid w:val="00C9603E"/>
    <w:rsid w:val="00C96272"/>
    <w:rsid w:val="00CA035B"/>
    <w:rsid w:val="00CA42D8"/>
    <w:rsid w:val="00CA6C64"/>
    <w:rsid w:val="00CA752C"/>
    <w:rsid w:val="00CB0898"/>
    <w:rsid w:val="00CB202F"/>
    <w:rsid w:val="00CB4E94"/>
    <w:rsid w:val="00CB5FC6"/>
    <w:rsid w:val="00CC66D2"/>
    <w:rsid w:val="00CD35BA"/>
    <w:rsid w:val="00CD59E8"/>
    <w:rsid w:val="00CE2F80"/>
    <w:rsid w:val="00CF2958"/>
    <w:rsid w:val="00CF4204"/>
    <w:rsid w:val="00D00CE8"/>
    <w:rsid w:val="00D02E53"/>
    <w:rsid w:val="00D03619"/>
    <w:rsid w:val="00D03E52"/>
    <w:rsid w:val="00D047F7"/>
    <w:rsid w:val="00D07C42"/>
    <w:rsid w:val="00D1259A"/>
    <w:rsid w:val="00D2177A"/>
    <w:rsid w:val="00D22D89"/>
    <w:rsid w:val="00D23721"/>
    <w:rsid w:val="00D262DE"/>
    <w:rsid w:val="00D40A16"/>
    <w:rsid w:val="00D46C3C"/>
    <w:rsid w:val="00D471FD"/>
    <w:rsid w:val="00D53F64"/>
    <w:rsid w:val="00D618EF"/>
    <w:rsid w:val="00D63933"/>
    <w:rsid w:val="00D644C1"/>
    <w:rsid w:val="00D6734D"/>
    <w:rsid w:val="00D73CA6"/>
    <w:rsid w:val="00D73D9E"/>
    <w:rsid w:val="00D7437F"/>
    <w:rsid w:val="00D7518E"/>
    <w:rsid w:val="00D76AEB"/>
    <w:rsid w:val="00D80A6F"/>
    <w:rsid w:val="00D80F16"/>
    <w:rsid w:val="00D82E27"/>
    <w:rsid w:val="00D8372F"/>
    <w:rsid w:val="00D916DD"/>
    <w:rsid w:val="00D92AF6"/>
    <w:rsid w:val="00D947C4"/>
    <w:rsid w:val="00D96A68"/>
    <w:rsid w:val="00DA4479"/>
    <w:rsid w:val="00DB2E59"/>
    <w:rsid w:val="00DB43EE"/>
    <w:rsid w:val="00DC3B9A"/>
    <w:rsid w:val="00DD1996"/>
    <w:rsid w:val="00DD21C5"/>
    <w:rsid w:val="00DD5CD0"/>
    <w:rsid w:val="00DD6645"/>
    <w:rsid w:val="00DD7038"/>
    <w:rsid w:val="00DE08D3"/>
    <w:rsid w:val="00DE09D0"/>
    <w:rsid w:val="00DE154D"/>
    <w:rsid w:val="00DE4978"/>
    <w:rsid w:val="00DE679B"/>
    <w:rsid w:val="00DE77DB"/>
    <w:rsid w:val="00DE79F6"/>
    <w:rsid w:val="00DF2D2F"/>
    <w:rsid w:val="00E039F7"/>
    <w:rsid w:val="00E06028"/>
    <w:rsid w:val="00E0656A"/>
    <w:rsid w:val="00E076FC"/>
    <w:rsid w:val="00E125F0"/>
    <w:rsid w:val="00E14EAC"/>
    <w:rsid w:val="00E15A83"/>
    <w:rsid w:val="00E22828"/>
    <w:rsid w:val="00E26484"/>
    <w:rsid w:val="00E26A4F"/>
    <w:rsid w:val="00E27692"/>
    <w:rsid w:val="00E307B1"/>
    <w:rsid w:val="00E316A2"/>
    <w:rsid w:val="00E32DC4"/>
    <w:rsid w:val="00E32F93"/>
    <w:rsid w:val="00E40623"/>
    <w:rsid w:val="00E414E8"/>
    <w:rsid w:val="00E41D40"/>
    <w:rsid w:val="00E428E5"/>
    <w:rsid w:val="00E43F30"/>
    <w:rsid w:val="00E446CE"/>
    <w:rsid w:val="00E4480B"/>
    <w:rsid w:val="00E45D7B"/>
    <w:rsid w:val="00E4644B"/>
    <w:rsid w:val="00E50794"/>
    <w:rsid w:val="00E52016"/>
    <w:rsid w:val="00E53400"/>
    <w:rsid w:val="00E56523"/>
    <w:rsid w:val="00E61988"/>
    <w:rsid w:val="00E632D5"/>
    <w:rsid w:val="00E64764"/>
    <w:rsid w:val="00E6530A"/>
    <w:rsid w:val="00E6732F"/>
    <w:rsid w:val="00E73FCE"/>
    <w:rsid w:val="00E7587E"/>
    <w:rsid w:val="00E75BF7"/>
    <w:rsid w:val="00E823AE"/>
    <w:rsid w:val="00E8508D"/>
    <w:rsid w:val="00E86260"/>
    <w:rsid w:val="00E90DFC"/>
    <w:rsid w:val="00E97891"/>
    <w:rsid w:val="00EA6217"/>
    <w:rsid w:val="00EA7B79"/>
    <w:rsid w:val="00EB467E"/>
    <w:rsid w:val="00EB7A62"/>
    <w:rsid w:val="00EC090E"/>
    <w:rsid w:val="00EC1243"/>
    <w:rsid w:val="00EC19D3"/>
    <w:rsid w:val="00EC4E8D"/>
    <w:rsid w:val="00EE1AF5"/>
    <w:rsid w:val="00EF29F9"/>
    <w:rsid w:val="00EF36FD"/>
    <w:rsid w:val="00EF5BAB"/>
    <w:rsid w:val="00EF6F45"/>
    <w:rsid w:val="00F0074A"/>
    <w:rsid w:val="00F012FD"/>
    <w:rsid w:val="00F037D6"/>
    <w:rsid w:val="00F04CC5"/>
    <w:rsid w:val="00F06129"/>
    <w:rsid w:val="00F1196E"/>
    <w:rsid w:val="00F276BE"/>
    <w:rsid w:val="00F3147A"/>
    <w:rsid w:val="00F34014"/>
    <w:rsid w:val="00F34145"/>
    <w:rsid w:val="00F351C2"/>
    <w:rsid w:val="00F36165"/>
    <w:rsid w:val="00F36A46"/>
    <w:rsid w:val="00F40B6D"/>
    <w:rsid w:val="00F41B14"/>
    <w:rsid w:val="00F42FC8"/>
    <w:rsid w:val="00F43406"/>
    <w:rsid w:val="00F45A53"/>
    <w:rsid w:val="00F510F1"/>
    <w:rsid w:val="00F60292"/>
    <w:rsid w:val="00F627B6"/>
    <w:rsid w:val="00F65BCC"/>
    <w:rsid w:val="00F666E5"/>
    <w:rsid w:val="00F67732"/>
    <w:rsid w:val="00F74C1E"/>
    <w:rsid w:val="00F77A60"/>
    <w:rsid w:val="00F77CE1"/>
    <w:rsid w:val="00F832C3"/>
    <w:rsid w:val="00F879D2"/>
    <w:rsid w:val="00F914D1"/>
    <w:rsid w:val="00F9224A"/>
    <w:rsid w:val="00F925BB"/>
    <w:rsid w:val="00F933AA"/>
    <w:rsid w:val="00FA1060"/>
    <w:rsid w:val="00FA57BF"/>
    <w:rsid w:val="00FA73BA"/>
    <w:rsid w:val="00FA7BE5"/>
    <w:rsid w:val="00FB24D7"/>
    <w:rsid w:val="00FB3320"/>
    <w:rsid w:val="00FB3D2A"/>
    <w:rsid w:val="00FB6AE5"/>
    <w:rsid w:val="00FC224E"/>
    <w:rsid w:val="00FC3138"/>
    <w:rsid w:val="00FC3E53"/>
    <w:rsid w:val="00FD2C4D"/>
    <w:rsid w:val="00FD414B"/>
    <w:rsid w:val="00FD4668"/>
    <w:rsid w:val="00FD6FF1"/>
    <w:rsid w:val="00FE10F7"/>
    <w:rsid w:val="00FE311D"/>
    <w:rsid w:val="00FE36FF"/>
    <w:rsid w:val="00FE3A45"/>
    <w:rsid w:val="00FE42E5"/>
    <w:rsid w:val="00FF7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F08"/>
    <w:rPr>
      <w:sz w:val="24"/>
      <w:szCs w:val="24"/>
    </w:rPr>
  </w:style>
  <w:style w:type="paragraph" w:styleId="Heading1">
    <w:name w:val="heading 1"/>
    <w:basedOn w:val="Normal"/>
    <w:next w:val="Normal"/>
    <w:qFormat/>
    <w:rsid w:val="008145F6"/>
    <w:pPr>
      <w:keepNext/>
      <w:jc w:val="center"/>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C6F08"/>
    <w:pPr>
      <w:ind w:left="284" w:hanging="284"/>
      <w:jc w:val="both"/>
    </w:pPr>
    <w:rPr>
      <w:sz w:val="20"/>
      <w:szCs w:val="20"/>
      <w:lang w:val="en-GB"/>
    </w:rPr>
  </w:style>
  <w:style w:type="paragraph" w:customStyle="1" w:styleId="Author">
    <w:name w:val="Author"/>
    <w:basedOn w:val="Normal"/>
    <w:rsid w:val="00AC6F08"/>
    <w:pPr>
      <w:spacing w:before="240" w:after="240"/>
      <w:jc w:val="center"/>
    </w:pPr>
    <w:rPr>
      <w:b/>
      <w:szCs w:val="20"/>
      <w:lang w:val="en-GB"/>
    </w:rPr>
  </w:style>
  <w:style w:type="paragraph" w:customStyle="1" w:styleId="Section">
    <w:name w:val="Section"/>
    <w:basedOn w:val="Normal"/>
    <w:next w:val="Normal"/>
    <w:rsid w:val="00AC6F08"/>
    <w:pPr>
      <w:keepNext/>
      <w:tabs>
        <w:tab w:val="left" w:pos="284"/>
      </w:tabs>
      <w:spacing w:before="240" w:after="160"/>
      <w:jc w:val="both"/>
    </w:pPr>
    <w:rPr>
      <w:rFonts w:ascii="Arial" w:hAnsi="Arial"/>
      <w:b/>
      <w:sz w:val="22"/>
      <w:szCs w:val="20"/>
      <w:lang w:val="en-GB"/>
    </w:rPr>
  </w:style>
  <w:style w:type="paragraph" w:customStyle="1" w:styleId="SubSection">
    <w:name w:val="SubSection"/>
    <w:basedOn w:val="Section"/>
    <w:rsid w:val="00AC6F08"/>
    <w:rPr>
      <w:sz w:val="20"/>
    </w:rPr>
  </w:style>
  <w:style w:type="paragraph" w:styleId="Caption">
    <w:name w:val="caption"/>
    <w:basedOn w:val="List"/>
    <w:qFormat/>
    <w:rsid w:val="00AC6F08"/>
    <w:pPr>
      <w:jc w:val="center"/>
    </w:pPr>
  </w:style>
  <w:style w:type="paragraph" w:styleId="Header">
    <w:name w:val="header"/>
    <w:basedOn w:val="Normal"/>
    <w:rsid w:val="00AC6F08"/>
    <w:pPr>
      <w:tabs>
        <w:tab w:val="center" w:pos="4320"/>
        <w:tab w:val="right" w:pos="8640"/>
      </w:tabs>
    </w:pPr>
  </w:style>
  <w:style w:type="paragraph" w:styleId="Footer">
    <w:name w:val="footer"/>
    <w:basedOn w:val="Normal"/>
    <w:rsid w:val="00AC6F08"/>
    <w:pPr>
      <w:tabs>
        <w:tab w:val="center" w:pos="4320"/>
        <w:tab w:val="right" w:pos="8640"/>
      </w:tabs>
    </w:pPr>
  </w:style>
  <w:style w:type="paragraph" w:styleId="NormalWeb">
    <w:name w:val="Normal (Web)"/>
    <w:basedOn w:val="Normal"/>
    <w:rsid w:val="00EA7B79"/>
    <w:pPr>
      <w:spacing w:before="100" w:beforeAutospacing="1" w:after="100" w:afterAutospacing="1"/>
    </w:pPr>
    <w:rPr>
      <w:rFonts w:ascii="Gulim" w:eastAsia="Gulim" w:hAnsi="Gulim" w:cs="Gulim"/>
      <w:lang w:eastAsia="ko-KR"/>
    </w:rPr>
  </w:style>
  <w:style w:type="character" w:styleId="Hyperlink">
    <w:name w:val="Hyperlink"/>
    <w:basedOn w:val="DefaultParagraphFont"/>
    <w:rsid w:val="00C34F34"/>
    <w:rPr>
      <w:color w:val="0000FF"/>
      <w:u w:val="single"/>
    </w:rPr>
  </w:style>
  <w:style w:type="paragraph" w:customStyle="1" w:styleId="References">
    <w:name w:val="References"/>
    <w:basedOn w:val="Normal"/>
    <w:rsid w:val="005B3BDE"/>
    <w:pPr>
      <w:numPr>
        <w:numId w:val="1"/>
      </w:numPr>
      <w:spacing w:after="120"/>
      <w:jc w:val="both"/>
    </w:pPr>
    <w:rPr>
      <w:rFonts w:eastAsia="Times New Roman"/>
      <w:sz w:val="18"/>
      <w:szCs w:val="16"/>
      <w:lang w:eastAsia="pt-BR"/>
    </w:rPr>
  </w:style>
  <w:style w:type="paragraph" w:styleId="BalloonText">
    <w:name w:val="Balloon Text"/>
    <w:basedOn w:val="Normal"/>
    <w:link w:val="BalloonTextChar"/>
    <w:rsid w:val="005B270A"/>
    <w:rPr>
      <w:rFonts w:ascii="Tahoma" w:hAnsi="Tahoma" w:cs="Tahoma"/>
      <w:sz w:val="16"/>
      <w:szCs w:val="16"/>
    </w:rPr>
  </w:style>
  <w:style w:type="character" w:customStyle="1" w:styleId="BalloonTextChar">
    <w:name w:val="Balloon Text Char"/>
    <w:basedOn w:val="DefaultParagraphFont"/>
    <w:link w:val="BalloonText"/>
    <w:rsid w:val="005B270A"/>
    <w:rPr>
      <w:rFonts w:ascii="Tahoma" w:hAnsi="Tahoma" w:cs="Tahoma"/>
      <w:sz w:val="16"/>
      <w:szCs w:val="16"/>
    </w:rPr>
  </w:style>
  <w:style w:type="paragraph" w:styleId="EndnoteText">
    <w:name w:val="endnote text"/>
    <w:basedOn w:val="Normal"/>
    <w:link w:val="EndnoteTextChar"/>
    <w:rsid w:val="0082614D"/>
    <w:rPr>
      <w:sz w:val="20"/>
      <w:szCs w:val="20"/>
    </w:rPr>
  </w:style>
  <w:style w:type="character" w:customStyle="1" w:styleId="EndnoteTextChar">
    <w:name w:val="Endnote Text Char"/>
    <w:basedOn w:val="DefaultParagraphFont"/>
    <w:link w:val="EndnoteText"/>
    <w:rsid w:val="0082614D"/>
  </w:style>
  <w:style w:type="character" w:styleId="EndnoteReference">
    <w:name w:val="endnote reference"/>
    <w:basedOn w:val="DefaultParagraphFont"/>
    <w:rsid w:val="0082614D"/>
    <w:rPr>
      <w:vertAlign w:val="superscript"/>
    </w:rPr>
  </w:style>
</w:styles>
</file>

<file path=word/webSettings.xml><?xml version="1.0" encoding="utf-8"?>
<w:webSettings xmlns:r="http://schemas.openxmlformats.org/officeDocument/2006/relationships" xmlns:w="http://schemas.openxmlformats.org/wordprocessingml/2006/main">
  <w:divs>
    <w:div w:id="226501103">
      <w:bodyDiv w:val="1"/>
      <w:marLeft w:val="0"/>
      <w:marRight w:val="0"/>
      <w:marTop w:val="0"/>
      <w:marBottom w:val="0"/>
      <w:divBdr>
        <w:top w:val="none" w:sz="0" w:space="0" w:color="auto"/>
        <w:left w:val="none" w:sz="0" w:space="0" w:color="auto"/>
        <w:bottom w:val="none" w:sz="0" w:space="0" w:color="auto"/>
        <w:right w:val="none" w:sz="0" w:space="0" w:color="auto"/>
      </w:divBdr>
      <w:divsChild>
        <w:div w:id="20517289">
          <w:marLeft w:val="0"/>
          <w:marRight w:val="0"/>
          <w:marTop w:val="0"/>
          <w:marBottom w:val="0"/>
          <w:divBdr>
            <w:top w:val="none" w:sz="0" w:space="0" w:color="auto"/>
            <w:left w:val="none" w:sz="0" w:space="0" w:color="auto"/>
            <w:bottom w:val="none" w:sz="0" w:space="0" w:color="auto"/>
            <w:right w:val="none" w:sz="0" w:space="0" w:color="auto"/>
          </w:divBdr>
          <w:divsChild>
            <w:div w:id="1292832098">
              <w:marLeft w:val="0"/>
              <w:marRight w:val="0"/>
              <w:marTop w:val="0"/>
              <w:marBottom w:val="0"/>
              <w:divBdr>
                <w:top w:val="none" w:sz="0" w:space="0" w:color="auto"/>
                <w:left w:val="none" w:sz="0" w:space="0" w:color="auto"/>
                <w:bottom w:val="none" w:sz="0" w:space="0" w:color="auto"/>
                <w:right w:val="none" w:sz="0" w:space="0" w:color="auto"/>
              </w:divBdr>
              <w:divsChild>
                <w:div w:id="1311441732">
                  <w:marLeft w:val="0"/>
                  <w:marRight w:val="0"/>
                  <w:marTop w:val="0"/>
                  <w:marBottom w:val="0"/>
                  <w:divBdr>
                    <w:top w:val="none" w:sz="0" w:space="0" w:color="auto"/>
                    <w:left w:val="none" w:sz="0" w:space="0" w:color="auto"/>
                    <w:bottom w:val="none" w:sz="0" w:space="0" w:color="auto"/>
                    <w:right w:val="none" w:sz="0" w:space="0" w:color="auto"/>
                  </w:divBdr>
                  <w:divsChild>
                    <w:div w:id="1428774680">
                      <w:marLeft w:val="0"/>
                      <w:marRight w:val="0"/>
                      <w:marTop w:val="0"/>
                      <w:marBottom w:val="0"/>
                      <w:divBdr>
                        <w:top w:val="none" w:sz="0" w:space="0" w:color="auto"/>
                        <w:left w:val="none" w:sz="0" w:space="0" w:color="auto"/>
                        <w:bottom w:val="none" w:sz="0" w:space="0" w:color="auto"/>
                        <w:right w:val="none" w:sz="0" w:space="0" w:color="auto"/>
                      </w:divBdr>
                      <w:divsChild>
                        <w:div w:id="839393948">
                          <w:marLeft w:val="0"/>
                          <w:marRight w:val="0"/>
                          <w:marTop w:val="0"/>
                          <w:marBottom w:val="0"/>
                          <w:divBdr>
                            <w:top w:val="none" w:sz="0" w:space="0" w:color="auto"/>
                            <w:left w:val="none" w:sz="0" w:space="0" w:color="auto"/>
                            <w:bottom w:val="none" w:sz="0" w:space="0" w:color="auto"/>
                            <w:right w:val="none" w:sz="0" w:space="0" w:color="auto"/>
                          </w:divBdr>
                          <w:divsChild>
                            <w:div w:id="2081710225">
                              <w:marLeft w:val="0"/>
                              <w:marRight w:val="0"/>
                              <w:marTop w:val="0"/>
                              <w:marBottom w:val="0"/>
                              <w:divBdr>
                                <w:top w:val="none" w:sz="0" w:space="0" w:color="auto"/>
                                <w:left w:val="none" w:sz="0" w:space="0" w:color="auto"/>
                                <w:bottom w:val="none" w:sz="0" w:space="0" w:color="auto"/>
                                <w:right w:val="none" w:sz="0" w:space="0" w:color="auto"/>
                              </w:divBdr>
                              <w:divsChild>
                                <w:div w:id="332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endnotes.xml.rels><?xml version="1.0" encoding="UTF-8" standalone="yes"?>
<Relationships xmlns="http://schemas.openxmlformats.org/package/2006/relationships"><Relationship Id="rId1" Type="http://schemas.openxmlformats.org/officeDocument/2006/relationships/hyperlink" Target="http://www.asee.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ower2\cplumb$\Docs\Plumb%20Docs\Publications\ICEE%202011\EE261_Master_Datas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ower2\cplumb$\Docs\Plumb%20Docs\Publications\ICEE%202011\EE261_Master_Data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0"/>
          <c:tx>
            <c:v>Live</c:v>
          </c:tx>
          <c:cat>
            <c:strRef>
              <c:f>Comparisons!$E$11:$E$17</c:f>
              <c:strCache>
                <c:ptCount val="7"/>
                <c:pt idx="0">
                  <c:v>Course Grade</c:v>
                </c:pt>
                <c:pt idx="1">
                  <c:v>Homework</c:v>
                </c:pt>
                <c:pt idx="2">
                  <c:v>Discussions</c:v>
                </c:pt>
                <c:pt idx="3">
                  <c:v>Quizzes</c:v>
                </c:pt>
                <c:pt idx="4">
                  <c:v>Final Exam</c:v>
                </c:pt>
                <c:pt idx="6">
                  <c:v>ABET (o)</c:v>
                </c:pt>
              </c:strCache>
            </c:strRef>
          </c:cat>
          <c:val>
            <c:numRef>
              <c:f>Comparisons!$G$11:$G$17</c:f>
              <c:numCache>
                <c:formatCode>0.00%</c:formatCode>
                <c:ptCount val="7"/>
                <c:pt idx="0">
                  <c:v>0.83682658640346164</c:v>
                </c:pt>
                <c:pt idx="1">
                  <c:v>0.83644430331909958</c:v>
                </c:pt>
                <c:pt idx="2">
                  <c:v>0.9076923076923078</c:v>
                </c:pt>
                <c:pt idx="3">
                  <c:v>0.8821021870287824</c:v>
                </c:pt>
                <c:pt idx="4">
                  <c:v>0.86605769230769325</c:v>
                </c:pt>
                <c:pt idx="6">
                  <c:v>0.88511111111111151</c:v>
                </c:pt>
              </c:numCache>
            </c:numRef>
          </c:val>
        </c:ser>
        <c:ser>
          <c:idx val="0"/>
          <c:order val="1"/>
          <c:tx>
            <c:v>Online</c:v>
          </c:tx>
          <c:cat>
            <c:strRef>
              <c:f>Comparisons!$E$11:$E$17</c:f>
              <c:strCache>
                <c:ptCount val="7"/>
                <c:pt idx="0">
                  <c:v>Course Grade</c:v>
                </c:pt>
                <c:pt idx="1">
                  <c:v>Homework</c:v>
                </c:pt>
                <c:pt idx="2">
                  <c:v>Discussions</c:v>
                </c:pt>
                <c:pt idx="3">
                  <c:v>Quizzes</c:v>
                </c:pt>
                <c:pt idx="4">
                  <c:v>Final Exam</c:v>
                </c:pt>
                <c:pt idx="6">
                  <c:v>ABET (o)</c:v>
                </c:pt>
              </c:strCache>
            </c:strRef>
          </c:cat>
          <c:val>
            <c:numRef>
              <c:f>Comparisons!$M$11:$M$17</c:f>
              <c:numCache>
                <c:formatCode>0.00%</c:formatCode>
                <c:ptCount val="7"/>
                <c:pt idx="0">
                  <c:v>0.83718429171742859</c:v>
                </c:pt>
                <c:pt idx="1">
                  <c:v>0.89792952635539169</c:v>
                </c:pt>
                <c:pt idx="2">
                  <c:v>0.92000000000000015</c:v>
                </c:pt>
                <c:pt idx="3">
                  <c:v>0.89283089150231332</c:v>
                </c:pt>
                <c:pt idx="4">
                  <c:v>0.85878571428571526</c:v>
                </c:pt>
                <c:pt idx="6">
                  <c:v>0.97903679653679654</c:v>
                </c:pt>
              </c:numCache>
            </c:numRef>
          </c:val>
        </c:ser>
        <c:axId val="59317632"/>
        <c:axId val="59389056"/>
      </c:barChart>
      <c:catAx>
        <c:axId val="59317632"/>
        <c:scaling>
          <c:orientation val="minMax"/>
        </c:scaling>
        <c:axPos val="b"/>
        <c:majorTickMark val="none"/>
        <c:tickLblPos val="nextTo"/>
        <c:crossAx val="59389056"/>
        <c:crosses val="autoZero"/>
        <c:auto val="1"/>
        <c:lblAlgn val="ctr"/>
        <c:lblOffset val="100"/>
      </c:catAx>
      <c:valAx>
        <c:axId val="59389056"/>
        <c:scaling>
          <c:orientation val="minMax"/>
          <c:max val="1"/>
          <c:min val="0"/>
        </c:scaling>
        <c:axPos val="l"/>
        <c:majorGridlines/>
        <c:numFmt formatCode="0.00%" sourceLinked="1"/>
        <c:majorTickMark val="none"/>
        <c:tickLblPos val="nextTo"/>
        <c:crossAx val="59317632"/>
        <c:crosses val="autoZero"/>
        <c:crossBetween val="between"/>
        <c:majorUnit val="0.2"/>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0"/>
          <c:tx>
            <c:v>Live</c:v>
          </c:tx>
          <c:cat>
            <c:strRef>
              <c:f>Comparisons!$E$19:$E$26</c:f>
              <c:strCache>
                <c:ptCount val="8"/>
                <c:pt idx="0">
                  <c:v>Module 1</c:v>
                </c:pt>
                <c:pt idx="1">
                  <c:v>Module 2</c:v>
                </c:pt>
                <c:pt idx="2">
                  <c:v>Module 3</c:v>
                </c:pt>
                <c:pt idx="3">
                  <c:v>Module 4</c:v>
                </c:pt>
                <c:pt idx="4">
                  <c:v>Module 5</c:v>
                </c:pt>
                <c:pt idx="5">
                  <c:v>Module 6</c:v>
                </c:pt>
                <c:pt idx="6">
                  <c:v>Module 7</c:v>
                </c:pt>
                <c:pt idx="7">
                  <c:v>Module 8</c:v>
                </c:pt>
              </c:strCache>
            </c:strRef>
          </c:cat>
          <c:val>
            <c:numRef>
              <c:f>Comparisons!$G$19:$G$26</c:f>
              <c:numCache>
                <c:formatCode>0.00%</c:formatCode>
                <c:ptCount val="8"/>
                <c:pt idx="0">
                  <c:v>0.95824175824615454</c:v>
                </c:pt>
                <c:pt idx="1">
                  <c:v>0.87500000000000089</c:v>
                </c:pt>
                <c:pt idx="2">
                  <c:v>0.69647435896538479</c:v>
                </c:pt>
                <c:pt idx="3">
                  <c:v>0.87179487179487347</c:v>
                </c:pt>
                <c:pt idx="4">
                  <c:v>0.72769230769230764</c:v>
                </c:pt>
                <c:pt idx="5">
                  <c:v>0.8551282051230783</c:v>
                </c:pt>
                <c:pt idx="6">
                  <c:v>0.77365007542051434</c:v>
                </c:pt>
                <c:pt idx="7">
                  <c:v>0.93076923076923079</c:v>
                </c:pt>
              </c:numCache>
            </c:numRef>
          </c:val>
        </c:ser>
        <c:ser>
          <c:idx val="0"/>
          <c:order val="1"/>
          <c:tx>
            <c:v>Online</c:v>
          </c:tx>
          <c:cat>
            <c:strRef>
              <c:f>Comparisons!$E$19:$E$26</c:f>
              <c:strCache>
                <c:ptCount val="8"/>
                <c:pt idx="0">
                  <c:v>Module 1</c:v>
                </c:pt>
                <c:pt idx="1">
                  <c:v>Module 2</c:v>
                </c:pt>
                <c:pt idx="2">
                  <c:v>Module 3</c:v>
                </c:pt>
                <c:pt idx="3">
                  <c:v>Module 4</c:v>
                </c:pt>
                <c:pt idx="4">
                  <c:v>Module 5</c:v>
                </c:pt>
                <c:pt idx="5">
                  <c:v>Module 6</c:v>
                </c:pt>
                <c:pt idx="6">
                  <c:v>Module 7</c:v>
                </c:pt>
                <c:pt idx="7">
                  <c:v>Module 8</c:v>
                </c:pt>
              </c:strCache>
            </c:strRef>
          </c:cat>
          <c:val>
            <c:numRef>
              <c:f>Comparisons!$M$19:$M$26</c:f>
              <c:numCache>
                <c:formatCode>0.00%</c:formatCode>
                <c:ptCount val="8"/>
                <c:pt idx="0">
                  <c:v>0.95836734693714187</c:v>
                </c:pt>
                <c:pt idx="1">
                  <c:v>0.9085714285714287</c:v>
                </c:pt>
                <c:pt idx="2">
                  <c:v>0.77182380952285801</c:v>
                </c:pt>
                <c:pt idx="3">
                  <c:v>0.82742857142857285</c:v>
                </c:pt>
                <c:pt idx="4">
                  <c:v>0.83314285714285763</c:v>
                </c:pt>
                <c:pt idx="5">
                  <c:v>0.72904761905142956</c:v>
                </c:pt>
                <c:pt idx="6">
                  <c:v>0.82378711484952372</c:v>
                </c:pt>
                <c:pt idx="7">
                  <c:v>0.88571428571428557</c:v>
                </c:pt>
              </c:numCache>
            </c:numRef>
          </c:val>
        </c:ser>
        <c:axId val="59446400"/>
        <c:axId val="59447936"/>
      </c:barChart>
      <c:catAx>
        <c:axId val="59446400"/>
        <c:scaling>
          <c:orientation val="minMax"/>
        </c:scaling>
        <c:axPos val="b"/>
        <c:majorTickMark val="none"/>
        <c:tickLblPos val="nextTo"/>
        <c:crossAx val="59447936"/>
        <c:crosses val="autoZero"/>
        <c:auto val="1"/>
        <c:lblAlgn val="ctr"/>
        <c:lblOffset val="100"/>
      </c:catAx>
      <c:valAx>
        <c:axId val="59447936"/>
        <c:scaling>
          <c:orientation val="minMax"/>
        </c:scaling>
        <c:axPos val="l"/>
        <c:majorGridlines/>
        <c:numFmt formatCode="0.00%" sourceLinked="1"/>
        <c:majorTickMark val="none"/>
        <c:tickLblPos val="nextTo"/>
        <c:crossAx val="5944640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720C-B22B-4DAC-876B-05681844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7</Pages>
  <Words>2476</Words>
  <Characters>13844</Characters>
  <Application>Microsoft Office Word</Application>
  <DocSecurity>0</DocSecurity>
  <Lines>298</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Title of your Paper</vt:lpstr>
      <vt:lpstr>Title of your Paper</vt:lpstr>
    </vt:vector>
  </TitlesOfParts>
  <Company>University of Ulster, UK</Company>
  <LinksUpToDate>false</LinksUpToDate>
  <CharactersWithSpaces>16354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 Paper</dc:title>
  <dc:subject/>
  <dc:creator>James Uhomoibhi</dc:creator>
  <cp:keywords/>
  <dc:description/>
  <cp:lastModifiedBy>cplumb</cp:lastModifiedBy>
  <cp:revision>20</cp:revision>
  <cp:lastPrinted>2011-04-18T20:00:00Z</cp:lastPrinted>
  <dcterms:created xsi:type="dcterms:W3CDTF">2011-04-26T14:10:00Z</dcterms:created>
  <dcterms:modified xsi:type="dcterms:W3CDTF">2011-05-13T15:12:00Z</dcterms:modified>
</cp:coreProperties>
</file>