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AA" w:rsidRPr="0033072C" w:rsidRDefault="001A50FE" w:rsidP="001D7FAA">
      <w:pPr>
        <w:jc w:val="center"/>
        <w:rPr>
          <w:rFonts w:ascii="Arial" w:hAnsi="Arial" w:cs="Arial"/>
          <w:b/>
          <w:sz w:val="28"/>
          <w:szCs w:val="28"/>
        </w:rPr>
      </w:pPr>
      <w:r w:rsidRPr="0033072C">
        <w:rPr>
          <w:rFonts w:ascii="Arial" w:hAnsi="Arial" w:cs="Arial"/>
          <w:b/>
          <w:sz w:val="28"/>
          <w:szCs w:val="28"/>
        </w:rPr>
        <w:t>Learning for Doing: Student Engagement as a Necessity for Practice.</w:t>
      </w:r>
    </w:p>
    <w:p w:rsidR="0033072C" w:rsidRDefault="0033072C" w:rsidP="00B24641">
      <w:pPr>
        <w:spacing w:after="0" w:line="240" w:lineRule="auto"/>
        <w:jc w:val="center"/>
        <w:rPr>
          <w:rFonts w:ascii="Arial" w:hAnsi="Arial" w:cs="Arial"/>
        </w:rPr>
      </w:pPr>
      <w:r>
        <w:rPr>
          <w:rFonts w:ascii="Arial" w:hAnsi="Arial" w:cs="Arial"/>
          <w:b/>
        </w:rPr>
        <w:t>T.</w:t>
      </w:r>
      <w:r w:rsidR="001825B1" w:rsidRPr="0033072C">
        <w:rPr>
          <w:rFonts w:ascii="Arial" w:hAnsi="Arial" w:cs="Arial"/>
          <w:b/>
        </w:rPr>
        <w:t xml:space="preserve"> </w:t>
      </w:r>
      <w:proofErr w:type="spellStart"/>
      <w:r w:rsidR="001825B1" w:rsidRPr="0033072C">
        <w:rPr>
          <w:rFonts w:ascii="Arial" w:hAnsi="Arial" w:cs="Arial"/>
          <w:b/>
        </w:rPr>
        <w:t>McLernon</w:t>
      </w:r>
      <w:proofErr w:type="spellEnd"/>
      <w:r>
        <w:rPr>
          <w:rFonts w:ascii="Arial" w:hAnsi="Arial" w:cs="Arial"/>
        </w:rPr>
        <w:t xml:space="preserve"> </w:t>
      </w:r>
    </w:p>
    <w:p w:rsidR="001825B1" w:rsidRPr="0033072C" w:rsidRDefault="001825B1" w:rsidP="00B24641">
      <w:pPr>
        <w:spacing w:after="0" w:line="240" w:lineRule="auto"/>
        <w:jc w:val="center"/>
        <w:rPr>
          <w:rFonts w:ascii="Arial" w:hAnsi="Arial" w:cs="Arial"/>
          <w:sz w:val="20"/>
          <w:szCs w:val="20"/>
        </w:rPr>
      </w:pPr>
      <w:r w:rsidRPr="0033072C">
        <w:rPr>
          <w:rFonts w:ascii="Arial" w:hAnsi="Arial" w:cs="Arial"/>
          <w:sz w:val="20"/>
          <w:szCs w:val="20"/>
        </w:rPr>
        <w:t>University of U</w:t>
      </w:r>
      <w:r w:rsidR="0033072C" w:rsidRPr="0033072C">
        <w:rPr>
          <w:rFonts w:ascii="Arial" w:hAnsi="Arial" w:cs="Arial"/>
          <w:sz w:val="20"/>
          <w:szCs w:val="20"/>
        </w:rPr>
        <w:t xml:space="preserve">lster, Newtownabbey, N. Ireland, </w:t>
      </w:r>
      <w:hyperlink r:id="rId8" w:history="1">
        <w:r w:rsidR="00B24641" w:rsidRPr="0033072C">
          <w:rPr>
            <w:rStyle w:val="Hyperlink"/>
            <w:rFonts w:ascii="Arial" w:hAnsi="Arial" w:cs="Arial"/>
            <w:sz w:val="20"/>
            <w:szCs w:val="20"/>
          </w:rPr>
          <w:t>t.mclernon@ulster.ac.uk</w:t>
        </w:r>
      </w:hyperlink>
    </w:p>
    <w:p w:rsidR="00B24641" w:rsidRDefault="00B24641" w:rsidP="00B24641">
      <w:pPr>
        <w:spacing w:after="0" w:line="240" w:lineRule="auto"/>
        <w:jc w:val="center"/>
        <w:rPr>
          <w:rFonts w:ascii="Arial" w:hAnsi="Arial" w:cs="Arial"/>
        </w:rPr>
      </w:pPr>
    </w:p>
    <w:p w:rsidR="001D7FAA" w:rsidRPr="0033072C" w:rsidRDefault="001D7FAA" w:rsidP="00B24641">
      <w:pPr>
        <w:spacing w:after="0" w:line="240" w:lineRule="auto"/>
        <w:jc w:val="center"/>
        <w:rPr>
          <w:rFonts w:ascii="Arial" w:hAnsi="Arial" w:cs="Arial"/>
        </w:rPr>
      </w:pPr>
    </w:p>
    <w:p w:rsidR="00B24641" w:rsidRPr="0033072C" w:rsidRDefault="0033072C" w:rsidP="0033072C">
      <w:pPr>
        <w:spacing w:after="0" w:line="240" w:lineRule="auto"/>
        <w:jc w:val="both"/>
        <w:rPr>
          <w:rFonts w:ascii="Arial" w:hAnsi="Arial" w:cs="Arial"/>
          <w:b/>
        </w:rPr>
      </w:pPr>
      <w:r>
        <w:rPr>
          <w:rFonts w:ascii="Arial" w:hAnsi="Arial" w:cs="Arial"/>
          <w:b/>
        </w:rPr>
        <w:t>Abstract</w:t>
      </w:r>
    </w:p>
    <w:p w:rsidR="00B24641" w:rsidRPr="0033072C" w:rsidRDefault="00B24641" w:rsidP="0033072C">
      <w:pPr>
        <w:spacing w:after="0" w:line="240" w:lineRule="auto"/>
        <w:jc w:val="both"/>
        <w:rPr>
          <w:rFonts w:ascii="Arial" w:hAnsi="Arial" w:cs="Arial"/>
        </w:rPr>
      </w:pPr>
    </w:p>
    <w:p w:rsidR="001A50FE" w:rsidRDefault="001A50FE" w:rsidP="0033072C">
      <w:pPr>
        <w:jc w:val="both"/>
        <w:rPr>
          <w:rFonts w:ascii="Arial" w:hAnsi="Arial" w:cs="Arial"/>
          <w:sz w:val="20"/>
          <w:szCs w:val="20"/>
        </w:rPr>
      </w:pPr>
      <w:r w:rsidRPr="008F1E44">
        <w:rPr>
          <w:rFonts w:ascii="Arial" w:hAnsi="Arial" w:cs="Arial"/>
          <w:sz w:val="20"/>
          <w:szCs w:val="20"/>
        </w:rPr>
        <w:t>The impetus for this study was instigated by recent comments from some employers</w:t>
      </w:r>
      <w:r w:rsidR="00633463" w:rsidRPr="008F1E44">
        <w:rPr>
          <w:rFonts w:ascii="Arial" w:hAnsi="Arial" w:cs="Arial"/>
          <w:sz w:val="20"/>
          <w:szCs w:val="20"/>
        </w:rPr>
        <w:t xml:space="preserve"> of graduates in the built environment discipline during a discussion on the necessity for education for sustainable development for participation in a global economy. The comments inferred</w:t>
      </w:r>
      <w:r w:rsidRPr="008F1E44">
        <w:rPr>
          <w:rFonts w:ascii="Arial" w:hAnsi="Arial" w:cs="Arial"/>
          <w:sz w:val="20"/>
          <w:szCs w:val="20"/>
        </w:rPr>
        <w:t xml:space="preserve"> that graduates “cannot do anything and we have to train them”. </w:t>
      </w:r>
      <w:r w:rsidR="00173242" w:rsidRPr="008F1E44">
        <w:rPr>
          <w:rFonts w:ascii="Arial" w:hAnsi="Arial" w:cs="Arial"/>
          <w:sz w:val="20"/>
          <w:szCs w:val="20"/>
        </w:rPr>
        <w:t xml:space="preserve">Further </w:t>
      </w:r>
      <w:r w:rsidR="00633463" w:rsidRPr="008F1E44">
        <w:rPr>
          <w:rFonts w:ascii="Arial" w:hAnsi="Arial" w:cs="Arial"/>
          <w:sz w:val="20"/>
          <w:szCs w:val="20"/>
        </w:rPr>
        <w:t xml:space="preserve">investigations </w:t>
      </w:r>
      <w:r w:rsidR="00173242" w:rsidRPr="008F1E44">
        <w:rPr>
          <w:rFonts w:ascii="Arial" w:hAnsi="Arial" w:cs="Arial"/>
          <w:sz w:val="20"/>
          <w:szCs w:val="20"/>
        </w:rPr>
        <w:t xml:space="preserve">suggested that a reason for this asserted lack of practical competence may be linked to inadequate student engagement during the three years at university. </w:t>
      </w:r>
      <w:r w:rsidRPr="008F1E44">
        <w:rPr>
          <w:rFonts w:ascii="Arial" w:hAnsi="Arial" w:cs="Arial"/>
          <w:sz w:val="20"/>
          <w:szCs w:val="20"/>
        </w:rPr>
        <w:t xml:space="preserve">The </w:t>
      </w:r>
      <w:r w:rsidR="00711685" w:rsidRPr="008F1E44">
        <w:rPr>
          <w:rFonts w:ascii="Arial" w:hAnsi="Arial" w:cs="Arial"/>
          <w:sz w:val="20"/>
          <w:szCs w:val="20"/>
        </w:rPr>
        <w:t>thesis behind this study was</w:t>
      </w:r>
      <w:r w:rsidR="00DD7C06" w:rsidRPr="008F1E44">
        <w:rPr>
          <w:rFonts w:ascii="Arial" w:hAnsi="Arial" w:cs="Arial"/>
          <w:sz w:val="20"/>
          <w:szCs w:val="20"/>
        </w:rPr>
        <w:t xml:space="preserve"> derived from these </w:t>
      </w:r>
      <w:r w:rsidR="0033072C" w:rsidRPr="008F1E44">
        <w:rPr>
          <w:rFonts w:ascii="Arial" w:hAnsi="Arial" w:cs="Arial"/>
          <w:sz w:val="20"/>
          <w:szCs w:val="20"/>
        </w:rPr>
        <w:t>fu</w:t>
      </w:r>
      <w:r w:rsidR="00633463" w:rsidRPr="008F1E44">
        <w:rPr>
          <w:rFonts w:ascii="Arial" w:hAnsi="Arial" w:cs="Arial"/>
          <w:sz w:val="20"/>
          <w:szCs w:val="20"/>
        </w:rPr>
        <w:t>rther investigations</w:t>
      </w:r>
      <w:r w:rsidR="00DD7C06" w:rsidRPr="008F1E44">
        <w:rPr>
          <w:rFonts w:ascii="Arial" w:hAnsi="Arial" w:cs="Arial"/>
          <w:sz w:val="20"/>
          <w:szCs w:val="20"/>
        </w:rPr>
        <w:t>: it</w:t>
      </w:r>
      <w:r w:rsidRPr="008F1E44">
        <w:rPr>
          <w:rFonts w:ascii="Arial" w:hAnsi="Arial" w:cs="Arial"/>
          <w:sz w:val="20"/>
          <w:szCs w:val="20"/>
        </w:rPr>
        <w:t xml:space="preserve"> is that students do not engage sufficiently with their studies to enable them, on graduation, to ‘hit the ground running’.</w:t>
      </w:r>
      <w:r w:rsidR="00711685" w:rsidRPr="008F1E44">
        <w:rPr>
          <w:rFonts w:ascii="Arial" w:hAnsi="Arial" w:cs="Arial"/>
          <w:sz w:val="20"/>
          <w:szCs w:val="20"/>
        </w:rPr>
        <w:t xml:space="preserve"> </w:t>
      </w:r>
      <w:r w:rsidR="00DE1512" w:rsidRPr="008F1E44">
        <w:rPr>
          <w:rFonts w:ascii="Arial" w:hAnsi="Arial" w:cs="Arial"/>
          <w:sz w:val="20"/>
          <w:szCs w:val="20"/>
        </w:rPr>
        <w:t>Student engagement is a term that may be interpreted in several different ways and may project different meanings.</w:t>
      </w:r>
      <w:r w:rsidR="00DE1512" w:rsidRPr="00CC1974">
        <w:rPr>
          <w:rFonts w:ascii="Arial" w:hAnsi="Arial" w:cs="Arial"/>
          <w:sz w:val="20"/>
          <w:szCs w:val="20"/>
        </w:rPr>
        <w:t xml:space="preserve"> </w:t>
      </w:r>
      <w:proofErr w:type="spellStart"/>
      <w:r w:rsidR="00DE1512" w:rsidRPr="00CC1974">
        <w:rPr>
          <w:rFonts w:ascii="Arial" w:hAnsi="Arial" w:cs="Arial"/>
          <w:sz w:val="20"/>
          <w:szCs w:val="20"/>
        </w:rPr>
        <w:t>Trowler</w:t>
      </w:r>
      <w:proofErr w:type="spellEnd"/>
      <w:r w:rsidR="00DE1512" w:rsidRPr="00CC1974">
        <w:rPr>
          <w:rFonts w:ascii="Arial" w:hAnsi="Arial" w:cs="Arial"/>
          <w:sz w:val="20"/>
          <w:szCs w:val="20"/>
        </w:rPr>
        <w:t xml:space="preserve"> and </w:t>
      </w:r>
      <w:proofErr w:type="spellStart"/>
      <w:r w:rsidR="00DE1512" w:rsidRPr="00CC1974">
        <w:rPr>
          <w:rFonts w:ascii="Arial" w:hAnsi="Arial" w:cs="Arial"/>
          <w:sz w:val="20"/>
          <w:szCs w:val="20"/>
        </w:rPr>
        <w:t>Trowler</w:t>
      </w:r>
      <w:proofErr w:type="spellEnd"/>
      <w:r w:rsidR="00DE1512" w:rsidRPr="00CC1974">
        <w:rPr>
          <w:rFonts w:ascii="Arial" w:hAnsi="Arial" w:cs="Arial"/>
          <w:sz w:val="20"/>
          <w:szCs w:val="20"/>
        </w:rPr>
        <w:t xml:space="preserve"> (2010) conducted a student engagement literature review that presented a “matrix of areas covered by the term ‘student engagement’”. They also identified </w:t>
      </w:r>
      <w:r w:rsidR="00173242" w:rsidRPr="00CC1974">
        <w:rPr>
          <w:rFonts w:ascii="Arial" w:hAnsi="Arial" w:cs="Arial"/>
          <w:sz w:val="20"/>
          <w:szCs w:val="20"/>
        </w:rPr>
        <w:t>“</w:t>
      </w:r>
      <w:r w:rsidR="00DE1512" w:rsidRPr="00CC1974">
        <w:rPr>
          <w:rFonts w:ascii="Arial" w:hAnsi="Arial" w:cs="Arial"/>
          <w:sz w:val="20"/>
          <w:szCs w:val="20"/>
        </w:rPr>
        <w:t>3 axes along which student engagement literature can be located, viz.</w:t>
      </w:r>
      <w:r w:rsidR="00173242" w:rsidRPr="00CC1974">
        <w:rPr>
          <w:rFonts w:ascii="Arial" w:hAnsi="Arial" w:cs="Arial"/>
          <w:sz w:val="20"/>
          <w:szCs w:val="20"/>
        </w:rPr>
        <w:t xml:space="preserve"> individual student learning, structure and process, and identity”. </w:t>
      </w:r>
      <w:r w:rsidR="00DE1512" w:rsidRPr="00CC1974">
        <w:rPr>
          <w:rFonts w:ascii="Arial" w:hAnsi="Arial" w:cs="Arial"/>
          <w:sz w:val="20"/>
          <w:szCs w:val="20"/>
        </w:rPr>
        <w:t xml:space="preserve"> </w:t>
      </w:r>
      <w:r w:rsidR="00D81F1F" w:rsidRPr="00CC1974">
        <w:rPr>
          <w:rFonts w:ascii="Arial" w:hAnsi="Arial" w:cs="Arial"/>
          <w:sz w:val="20"/>
          <w:szCs w:val="20"/>
        </w:rPr>
        <w:t xml:space="preserve">‘Engagement’ for the purposes of this study </w:t>
      </w:r>
      <w:r w:rsidR="00173242" w:rsidRPr="00CC1974">
        <w:rPr>
          <w:rFonts w:ascii="Arial" w:hAnsi="Arial" w:cs="Arial"/>
          <w:sz w:val="20"/>
          <w:szCs w:val="20"/>
        </w:rPr>
        <w:t xml:space="preserve">followed the axis of individual student learning. In addition, ‘engagement’ was qualified </w:t>
      </w:r>
      <w:r w:rsidR="00D81F1F" w:rsidRPr="00CC1974">
        <w:rPr>
          <w:rFonts w:ascii="Arial" w:hAnsi="Arial" w:cs="Arial"/>
          <w:sz w:val="20"/>
          <w:szCs w:val="20"/>
        </w:rPr>
        <w:t xml:space="preserve">and separated according to </w:t>
      </w:r>
      <w:r w:rsidR="00CF30F7" w:rsidRPr="00CC1974">
        <w:rPr>
          <w:rFonts w:ascii="Arial" w:hAnsi="Arial" w:cs="Arial"/>
          <w:sz w:val="20"/>
          <w:szCs w:val="20"/>
        </w:rPr>
        <w:t xml:space="preserve">the </w:t>
      </w:r>
      <w:r w:rsidR="001825B1" w:rsidRPr="00CC1974">
        <w:rPr>
          <w:rFonts w:ascii="Arial" w:hAnsi="Arial" w:cs="Arial"/>
          <w:sz w:val="20"/>
          <w:szCs w:val="20"/>
        </w:rPr>
        <w:t>dimensions proposed by</w:t>
      </w:r>
      <w:r w:rsidR="00CF30F7" w:rsidRPr="00CC1974">
        <w:rPr>
          <w:rFonts w:ascii="Arial" w:hAnsi="Arial" w:cs="Arial"/>
          <w:sz w:val="20"/>
          <w:szCs w:val="20"/>
        </w:rPr>
        <w:t xml:space="preserve"> </w:t>
      </w:r>
      <w:proofErr w:type="spellStart"/>
      <w:r w:rsidR="00D81F1F" w:rsidRPr="00CC1974">
        <w:rPr>
          <w:rFonts w:ascii="Arial" w:hAnsi="Arial" w:cs="Arial"/>
          <w:sz w:val="20"/>
          <w:szCs w:val="20"/>
        </w:rPr>
        <w:t>Trowler</w:t>
      </w:r>
      <w:proofErr w:type="spellEnd"/>
      <w:r w:rsidR="00CF30F7" w:rsidRPr="00CC1974">
        <w:rPr>
          <w:rFonts w:ascii="Arial" w:hAnsi="Arial" w:cs="Arial"/>
          <w:sz w:val="20"/>
          <w:szCs w:val="20"/>
        </w:rPr>
        <w:t xml:space="preserve"> (2010), drawing on the work of</w:t>
      </w:r>
      <w:r w:rsidR="00633463" w:rsidRPr="00CC1974">
        <w:rPr>
          <w:rFonts w:ascii="Arial" w:hAnsi="Arial" w:cs="Arial"/>
          <w:sz w:val="20"/>
          <w:szCs w:val="20"/>
        </w:rPr>
        <w:t xml:space="preserve"> others and identified as:</w:t>
      </w:r>
      <w:r w:rsidR="00D81F1F" w:rsidRPr="00CC1974">
        <w:rPr>
          <w:rFonts w:ascii="Arial" w:hAnsi="Arial" w:cs="Arial"/>
          <w:sz w:val="20"/>
          <w:szCs w:val="20"/>
        </w:rPr>
        <w:t xml:space="preserve"> </w:t>
      </w:r>
      <w:proofErr w:type="spellStart"/>
      <w:r w:rsidR="00CF30F7" w:rsidRPr="00CC1974">
        <w:rPr>
          <w:rFonts w:ascii="Arial" w:hAnsi="Arial" w:cs="Arial"/>
          <w:sz w:val="20"/>
          <w:szCs w:val="20"/>
        </w:rPr>
        <w:t>behavioural</w:t>
      </w:r>
      <w:proofErr w:type="spellEnd"/>
      <w:r w:rsidR="00CF30F7" w:rsidRPr="00CC1974">
        <w:rPr>
          <w:rFonts w:ascii="Arial" w:hAnsi="Arial" w:cs="Arial"/>
          <w:sz w:val="20"/>
          <w:szCs w:val="20"/>
        </w:rPr>
        <w:t xml:space="preserve"> engagement, </w:t>
      </w:r>
      <w:r w:rsidR="00D81F1F" w:rsidRPr="00CC1974">
        <w:rPr>
          <w:rFonts w:ascii="Arial" w:hAnsi="Arial" w:cs="Arial"/>
          <w:sz w:val="20"/>
          <w:szCs w:val="20"/>
        </w:rPr>
        <w:t>affective engagement and</w:t>
      </w:r>
      <w:r w:rsidR="00CF30F7" w:rsidRPr="00CC1974">
        <w:rPr>
          <w:rFonts w:ascii="Arial" w:hAnsi="Arial" w:cs="Arial"/>
          <w:sz w:val="20"/>
          <w:szCs w:val="20"/>
        </w:rPr>
        <w:t xml:space="preserve"> cognitive engagement</w:t>
      </w:r>
      <w:r w:rsidR="00D81F1F" w:rsidRPr="00CC1974">
        <w:rPr>
          <w:rFonts w:ascii="Arial" w:hAnsi="Arial" w:cs="Arial"/>
          <w:sz w:val="20"/>
          <w:szCs w:val="20"/>
        </w:rPr>
        <w:t xml:space="preserve">. </w:t>
      </w:r>
      <w:r w:rsidR="00711685" w:rsidRPr="00CC1974">
        <w:rPr>
          <w:rFonts w:ascii="Arial" w:hAnsi="Arial" w:cs="Arial"/>
          <w:sz w:val="20"/>
          <w:szCs w:val="20"/>
        </w:rPr>
        <w:t xml:space="preserve">The purpose of the study was to </w:t>
      </w:r>
      <w:r w:rsidR="001825B1" w:rsidRPr="00CC1974">
        <w:rPr>
          <w:rFonts w:ascii="Arial" w:hAnsi="Arial" w:cs="Arial"/>
          <w:sz w:val="20"/>
          <w:szCs w:val="20"/>
        </w:rPr>
        <w:t xml:space="preserve">derive and </w:t>
      </w:r>
      <w:proofErr w:type="spellStart"/>
      <w:r w:rsidR="00F66EB7" w:rsidRPr="00CC1974">
        <w:rPr>
          <w:rFonts w:ascii="Arial" w:hAnsi="Arial" w:cs="Arial"/>
          <w:sz w:val="20"/>
          <w:szCs w:val="20"/>
        </w:rPr>
        <w:t>analyse</w:t>
      </w:r>
      <w:proofErr w:type="spellEnd"/>
      <w:r w:rsidR="00F66EB7" w:rsidRPr="00CC1974">
        <w:rPr>
          <w:rFonts w:ascii="Arial" w:hAnsi="Arial" w:cs="Arial"/>
          <w:sz w:val="20"/>
          <w:szCs w:val="20"/>
        </w:rPr>
        <w:t xml:space="preserve"> the factors that contribute to justification for this thesis with a view to the ultimate</w:t>
      </w:r>
      <w:r w:rsidR="00711685" w:rsidRPr="00CC1974">
        <w:rPr>
          <w:rFonts w:ascii="Arial" w:hAnsi="Arial" w:cs="Arial"/>
          <w:sz w:val="20"/>
          <w:szCs w:val="20"/>
        </w:rPr>
        <w:t xml:space="preserve"> </w:t>
      </w:r>
      <w:r w:rsidR="00F66EB7" w:rsidRPr="00CC1974">
        <w:rPr>
          <w:rFonts w:ascii="Arial" w:hAnsi="Arial" w:cs="Arial"/>
          <w:sz w:val="20"/>
          <w:szCs w:val="20"/>
        </w:rPr>
        <w:t xml:space="preserve">construction of a reflective tool with which students may self-assess their own engagement. </w:t>
      </w:r>
      <w:r w:rsidR="00711685" w:rsidRPr="00CC1974">
        <w:rPr>
          <w:rFonts w:ascii="Arial" w:hAnsi="Arial" w:cs="Arial"/>
          <w:sz w:val="20"/>
          <w:szCs w:val="20"/>
        </w:rPr>
        <w:t>Data fo</w:t>
      </w:r>
      <w:r w:rsidR="00D81F1F" w:rsidRPr="00CC1974">
        <w:rPr>
          <w:rFonts w:ascii="Arial" w:hAnsi="Arial" w:cs="Arial"/>
          <w:sz w:val="20"/>
          <w:szCs w:val="20"/>
        </w:rPr>
        <w:t>r the study were</w:t>
      </w:r>
      <w:r w:rsidR="00711685" w:rsidRPr="00CC1974">
        <w:rPr>
          <w:rFonts w:ascii="Arial" w:hAnsi="Arial" w:cs="Arial"/>
          <w:sz w:val="20"/>
          <w:szCs w:val="20"/>
        </w:rPr>
        <w:t xml:space="preserve"> collecte</w:t>
      </w:r>
      <w:r w:rsidR="00D81F1F" w:rsidRPr="00CC1974">
        <w:rPr>
          <w:rFonts w:ascii="Arial" w:hAnsi="Arial" w:cs="Arial"/>
          <w:sz w:val="20"/>
          <w:szCs w:val="20"/>
        </w:rPr>
        <w:t>d</w:t>
      </w:r>
      <w:r w:rsidR="00B82A65">
        <w:rPr>
          <w:rFonts w:ascii="Arial" w:hAnsi="Arial" w:cs="Arial"/>
          <w:sz w:val="20"/>
          <w:szCs w:val="20"/>
        </w:rPr>
        <w:t xml:space="preserve"> from records,</w:t>
      </w:r>
      <w:r w:rsidR="0046467B">
        <w:rPr>
          <w:rFonts w:ascii="Arial" w:hAnsi="Arial" w:cs="Arial"/>
          <w:sz w:val="20"/>
          <w:szCs w:val="20"/>
        </w:rPr>
        <w:t xml:space="preserve"> by observant</w:t>
      </w:r>
      <w:r w:rsidR="00D81F1F" w:rsidRPr="00CC1974">
        <w:rPr>
          <w:rFonts w:ascii="Arial" w:hAnsi="Arial" w:cs="Arial"/>
          <w:sz w:val="20"/>
          <w:szCs w:val="20"/>
        </w:rPr>
        <w:t xml:space="preserve"> partic</w:t>
      </w:r>
      <w:r w:rsidR="00711685" w:rsidRPr="00CC1974">
        <w:rPr>
          <w:rFonts w:ascii="Arial" w:hAnsi="Arial" w:cs="Arial"/>
          <w:sz w:val="20"/>
          <w:szCs w:val="20"/>
        </w:rPr>
        <w:t>ipation with students, supported by individual conversations and focus group sessions with a sample of students from the built environment disciplines</w:t>
      </w:r>
      <w:r w:rsidR="00DD7C06" w:rsidRPr="00CC1974">
        <w:rPr>
          <w:rFonts w:ascii="Arial" w:hAnsi="Arial" w:cs="Arial"/>
          <w:sz w:val="20"/>
          <w:szCs w:val="20"/>
        </w:rPr>
        <w:t xml:space="preserve">. </w:t>
      </w:r>
      <w:r w:rsidR="00711685" w:rsidRPr="00CC1974">
        <w:rPr>
          <w:rFonts w:ascii="Arial" w:hAnsi="Arial" w:cs="Arial"/>
          <w:sz w:val="20"/>
          <w:szCs w:val="20"/>
        </w:rPr>
        <w:t xml:space="preserve">These data were </w:t>
      </w:r>
      <w:proofErr w:type="spellStart"/>
      <w:r w:rsidR="00711685" w:rsidRPr="00CC1974">
        <w:rPr>
          <w:rFonts w:ascii="Arial" w:hAnsi="Arial" w:cs="Arial"/>
          <w:sz w:val="20"/>
          <w:szCs w:val="20"/>
        </w:rPr>
        <w:t>ana</w:t>
      </w:r>
      <w:r w:rsidR="00D81F1F" w:rsidRPr="00CC1974">
        <w:rPr>
          <w:rFonts w:ascii="Arial" w:hAnsi="Arial" w:cs="Arial"/>
          <w:sz w:val="20"/>
          <w:szCs w:val="20"/>
        </w:rPr>
        <w:t>l</w:t>
      </w:r>
      <w:r w:rsidR="00711685" w:rsidRPr="00CC1974">
        <w:rPr>
          <w:rFonts w:ascii="Arial" w:hAnsi="Arial" w:cs="Arial"/>
          <w:sz w:val="20"/>
          <w:szCs w:val="20"/>
        </w:rPr>
        <w:t>ysed</w:t>
      </w:r>
      <w:proofErr w:type="spellEnd"/>
      <w:r w:rsidR="00711685" w:rsidRPr="00CC1974">
        <w:rPr>
          <w:rFonts w:ascii="Arial" w:hAnsi="Arial" w:cs="Arial"/>
          <w:sz w:val="20"/>
          <w:szCs w:val="20"/>
        </w:rPr>
        <w:t xml:space="preserve"> in conjunction with data obtained from</w:t>
      </w:r>
      <w:r w:rsidR="00D81F1F" w:rsidRPr="00CC1974">
        <w:rPr>
          <w:rFonts w:ascii="Arial" w:hAnsi="Arial" w:cs="Arial"/>
          <w:sz w:val="20"/>
          <w:szCs w:val="20"/>
        </w:rPr>
        <w:t xml:space="preserve"> six</w:t>
      </w:r>
      <w:r w:rsidR="00711685" w:rsidRPr="00CC1974">
        <w:rPr>
          <w:rFonts w:ascii="Arial" w:hAnsi="Arial" w:cs="Arial"/>
          <w:sz w:val="20"/>
          <w:szCs w:val="20"/>
        </w:rPr>
        <w:t xml:space="preserve"> tutors on built environment </w:t>
      </w:r>
      <w:proofErr w:type="spellStart"/>
      <w:r w:rsidR="00711685" w:rsidRPr="00CC1974">
        <w:rPr>
          <w:rFonts w:ascii="Arial" w:hAnsi="Arial" w:cs="Arial"/>
          <w:sz w:val="20"/>
          <w:szCs w:val="20"/>
        </w:rPr>
        <w:t>programmes</w:t>
      </w:r>
      <w:proofErr w:type="spellEnd"/>
      <w:r w:rsidR="00F66EB7" w:rsidRPr="00CC1974">
        <w:rPr>
          <w:rFonts w:ascii="Arial" w:hAnsi="Arial" w:cs="Arial"/>
          <w:sz w:val="20"/>
          <w:szCs w:val="20"/>
        </w:rPr>
        <w:t xml:space="preserve"> and a</w:t>
      </w:r>
      <w:r w:rsidR="00D81F1F" w:rsidRPr="00CC1974">
        <w:rPr>
          <w:rFonts w:ascii="Arial" w:hAnsi="Arial" w:cs="Arial"/>
          <w:sz w:val="20"/>
          <w:szCs w:val="20"/>
        </w:rPr>
        <w:t xml:space="preserve"> framework of findings was</w:t>
      </w:r>
      <w:r w:rsidR="00F66EB7" w:rsidRPr="00CC1974">
        <w:rPr>
          <w:rFonts w:ascii="Arial" w:hAnsi="Arial" w:cs="Arial"/>
          <w:sz w:val="20"/>
          <w:szCs w:val="20"/>
        </w:rPr>
        <w:t xml:space="preserve"> built. </w:t>
      </w:r>
      <w:r w:rsidR="001825B1" w:rsidRPr="00CC1974">
        <w:rPr>
          <w:rFonts w:ascii="Arial" w:hAnsi="Arial" w:cs="Arial"/>
          <w:sz w:val="20"/>
          <w:szCs w:val="20"/>
        </w:rPr>
        <w:t xml:space="preserve">The conclusions demonstrate that engagement could be improved along the axis of individual student learning and according to the three dimensions of engagement. Whether improvement of such engagement would </w:t>
      </w:r>
      <w:r w:rsidR="00B24641" w:rsidRPr="00CC1974">
        <w:rPr>
          <w:rFonts w:ascii="Arial" w:hAnsi="Arial" w:cs="Arial"/>
          <w:sz w:val="20"/>
          <w:szCs w:val="20"/>
        </w:rPr>
        <w:t>lead to improved practical competencies upon graduation was not empirically included in the study</w:t>
      </w:r>
      <w:r w:rsidR="00633463" w:rsidRPr="00CC1974">
        <w:rPr>
          <w:rFonts w:ascii="Arial" w:hAnsi="Arial" w:cs="Arial"/>
          <w:sz w:val="20"/>
          <w:szCs w:val="20"/>
        </w:rPr>
        <w:t xml:space="preserve"> but such conjecture should lead to healthy discussion at the conference. </w:t>
      </w:r>
      <w:r w:rsidR="00DD7C06" w:rsidRPr="00CC1974">
        <w:rPr>
          <w:rFonts w:ascii="Arial" w:hAnsi="Arial" w:cs="Arial"/>
          <w:sz w:val="20"/>
          <w:szCs w:val="20"/>
        </w:rPr>
        <w:t>Discussion of this paper at the conference will inform the construction of a reflective tool with which students may self-assess their own engagement.</w:t>
      </w:r>
    </w:p>
    <w:p w:rsidR="00EA2755" w:rsidRPr="00CC1974" w:rsidRDefault="00EA2755" w:rsidP="0033072C">
      <w:pPr>
        <w:jc w:val="both"/>
        <w:rPr>
          <w:rFonts w:ascii="Arial" w:hAnsi="Arial" w:cs="Arial"/>
          <w:sz w:val="20"/>
          <w:szCs w:val="20"/>
        </w:rPr>
      </w:pPr>
    </w:p>
    <w:p w:rsidR="00CC1974" w:rsidRDefault="00CC1974" w:rsidP="006754B6">
      <w:pPr>
        <w:pStyle w:val="ListParagraph"/>
        <w:numPr>
          <w:ilvl w:val="0"/>
          <w:numId w:val="5"/>
        </w:numPr>
        <w:jc w:val="both"/>
        <w:rPr>
          <w:rFonts w:ascii="Arial" w:hAnsi="Arial" w:cs="Arial"/>
          <w:b/>
        </w:rPr>
      </w:pPr>
      <w:r w:rsidRPr="006754B6">
        <w:rPr>
          <w:rFonts w:ascii="Arial" w:hAnsi="Arial" w:cs="Arial"/>
          <w:b/>
        </w:rPr>
        <w:t>Introduction</w:t>
      </w:r>
    </w:p>
    <w:p w:rsidR="00A568C6" w:rsidRPr="006754B6" w:rsidRDefault="00A568C6" w:rsidP="00A568C6">
      <w:pPr>
        <w:spacing w:before="100" w:beforeAutospacing="1" w:after="100" w:afterAutospacing="1" w:line="240" w:lineRule="auto"/>
        <w:rPr>
          <w:rFonts w:ascii="Arial" w:hAnsi="Arial" w:cs="Arial"/>
          <w:b/>
        </w:rPr>
      </w:pPr>
      <w:r w:rsidRPr="00A568C6">
        <w:rPr>
          <w:rFonts w:ascii="Arial" w:eastAsia="Times New Roman" w:hAnsi="Arial" w:cs="Arial"/>
          <w:i/>
          <w:sz w:val="20"/>
          <w:szCs w:val="20"/>
        </w:rPr>
        <w:t>Knowledge can be communicated, but not wisdom.  One can find it, live it, be fortified by it, do wonders through it, but one cannot communicate and teach it.</w:t>
      </w:r>
      <w:r w:rsidRPr="00A568C6">
        <w:rPr>
          <w:rFonts w:ascii="Arial" w:eastAsia="Times New Roman" w:hAnsi="Arial" w:cs="Arial"/>
          <w:sz w:val="20"/>
          <w:szCs w:val="20"/>
        </w:rPr>
        <w:t xml:space="preserve"> (Hermann </w:t>
      </w:r>
      <w:proofErr w:type="spellStart"/>
      <w:r w:rsidRPr="00A568C6">
        <w:rPr>
          <w:rFonts w:ascii="Arial" w:eastAsia="Times New Roman" w:hAnsi="Arial" w:cs="Arial"/>
          <w:sz w:val="20"/>
          <w:szCs w:val="20"/>
        </w:rPr>
        <w:t>Hesse</w:t>
      </w:r>
      <w:proofErr w:type="spellEnd"/>
      <w:r w:rsidRPr="00A568C6">
        <w:rPr>
          <w:rFonts w:ascii="Arial" w:eastAsia="Times New Roman" w:hAnsi="Arial" w:cs="Arial"/>
          <w:sz w:val="20"/>
          <w:szCs w:val="20"/>
        </w:rPr>
        <w:t>)</w:t>
      </w:r>
    </w:p>
    <w:p w:rsidR="00D27483" w:rsidRDefault="00D27483" w:rsidP="00CC1974">
      <w:pPr>
        <w:jc w:val="both"/>
        <w:rPr>
          <w:rFonts w:ascii="Arial" w:hAnsi="Arial" w:cs="Arial"/>
          <w:sz w:val="20"/>
          <w:szCs w:val="20"/>
        </w:rPr>
      </w:pPr>
      <w:r w:rsidRPr="00CC1974">
        <w:rPr>
          <w:rFonts w:ascii="Arial" w:hAnsi="Arial" w:cs="Arial"/>
          <w:sz w:val="20"/>
          <w:szCs w:val="20"/>
        </w:rPr>
        <w:t>The impetus for this study was instigated by recent comments from some employers of graduates in the built environment discipline during a discussion on the necessity for education for sustainable development for participation in a global economy. The comments inferred that graduates “cannot do anything and we have to train them”.</w:t>
      </w:r>
      <w:r>
        <w:rPr>
          <w:rFonts w:ascii="Arial" w:hAnsi="Arial" w:cs="Arial"/>
          <w:sz w:val="20"/>
          <w:szCs w:val="20"/>
        </w:rPr>
        <w:t xml:space="preserve"> These comments caused some critical debate. On one side the argument was that: ‘universities, surely, are there to prepare students to graduate and take their place in the working environment.’ The counter proposal was that: ‘graduates may be “academically educated” but not adequately educated or trained to the level expected by employers’.</w:t>
      </w:r>
      <w:r w:rsidR="00B43DC9">
        <w:rPr>
          <w:rFonts w:ascii="Arial" w:hAnsi="Arial" w:cs="Arial"/>
          <w:sz w:val="20"/>
          <w:szCs w:val="20"/>
        </w:rPr>
        <w:t xml:space="preserve"> As the </w:t>
      </w:r>
      <w:proofErr w:type="spellStart"/>
      <w:r w:rsidR="00B43DC9">
        <w:rPr>
          <w:rFonts w:ascii="Arial" w:hAnsi="Arial" w:cs="Arial"/>
          <w:sz w:val="20"/>
          <w:szCs w:val="20"/>
        </w:rPr>
        <w:t>programmes</w:t>
      </w:r>
      <w:proofErr w:type="spellEnd"/>
      <w:r w:rsidR="00B43DC9">
        <w:rPr>
          <w:rFonts w:ascii="Arial" w:hAnsi="Arial" w:cs="Arial"/>
          <w:sz w:val="20"/>
          <w:szCs w:val="20"/>
        </w:rPr>
        <w:t xml:space="preserve"> associated </w:t>
      </w:r>
      <w:r w:rsidR="00B43DC9">
        <w:rPr>
          <w:rFonts w:ascii="Arial" w:hAnsi="Arial" w:cs="Arial"/>
          <w:sz w:val="20"/>
          <w:szCs w:val="20"/>
        </w:rPr>
        <w:lastRenderedPageBreak/>
        <w:t>with the built environment discipline are vocational ones, the debate was notable and provoked further debate and investigation. These f</w:t>
      </w:r>
      <w:r w:rsidR="00B43DC9" w:rsidRPr="00CC1974">
        <w:rPr>
          <w:rFonts w:ascii="Arial" w:hAnsi="Arial" w:cs="Arial"/>
          <w:sz w:val="20"/>
          <w:szCs w:val="20"/>
        </w:rPr>
        <w:t>urther investigations suggested that a reason for this asserted lack of practical competence may be linked to inadequate student engagement during the three years at university.</w:t>
      </w:r>
      <w:r w:rsidR="00B43DC9" w:rsidRPr="00B43DC9">
        <w:rPr>
          <w:rFonts w:ascii="Arial" w:hAnsi="Arial" w:cs="Arial"/>
          <w:sz w:val="20"/>
          <w:szCs w:val="20"/>
        </w:rPr>
        <w:t xml:space="preserve"> </w:t>
      </w:r>
      <w:r w:rsidR="00B43DC9" w:rsidRPr="00CC1974">
        <w:rPr>
          <w:rFonts w:ascii="Arial" w:hAnsi="Arial" w:cs="Arial"/>
          <w:sz w:val="20"/>
          <w:szCs w:val="20"/>
        </w:rPr>
        <w:t>The thesis behind this study was derived from these further investigations: it is that students do not engage sufficiently with their studies to enable them, on graduation, to ‘hit the ground running’.</w:t>
      </w:r>
    </w:p>
    <w:p w:rsidR="00FF443E" w:rsidRPr="00EA2755" w:rsidRDefault="00B43DC9" w:rsidP="00FF443E">
      <w:pPr>
        <w:jc w:val="both"/>
        <w:rPr>
          <w:rFonts w:ascii="Arial" w:hAnsi="Arial" w:cs="Arial"/>
          <w:sz w:val="20"/>
          <w:szCs w:val="20"/>
        </w:rPr>
      </w:pPr>
      <w:r>
        <w:rPr>
          <w:rFonts w:ascii="Arial" w:hAnsi="Arial" w:cs="Arial"/>
          <w:sz w:val="20"/>
          <w:szCs w:val="20"/>
        </w:rPr>
        <w:t>There is a substantial literature base on the subject of stud</w:t>
      </w:r>
      <w:r w:rsidR="00886443">
        <w:rPr>
          <w:rFonts w:ascii="Arial" w:hAnsi="Arial" w:cs="Arial"/>
          <w:sz w:val="20"/>
          <w:szCs w:val="20"/>
        </w:rPr>
        <w:t>ent engagement. Helpfully,</w:t>
      </w:r>
      <w:r>
        <w:rPr>
          <w:rFonts w:ascii="Arial" w:hAnsi="Arial" w:cs="Arial"/>
          <w:sz w:val="20"/>
          <w:szCs w:val="20"/>
        </w:rPr>
        <w:t xml:space="preserve"> </w:t>
      </w:r>
      <w:r w:rsidR="00FF443E">
        <w:rPr>
          <w:rFonts w:ascii="Arial" w:hAnsi="Arial" w:cs="Arial"/>
          <w:sz w:val="20"/>
          <w:szCs w:val="20"/>
        </w:rPr>
        <w:t xml:space="preserve">for a review of research on student engagement commissioned by the Higher Education Academy (HEA), </w:t>
      </w:r>
      <w:proofErr w:type="spellStart"/>
      <w:r>
        <w:rPr>
          <w:rFonts w:ascii="Arial" w:hAnsi="Arial" w:cs="Arial"/>
          <w:sz w:val="20"/>
          <w:szCs w:val="20"/>
        </w:rPr>
        <w:t>Trowler</w:t>
      </w:r>
      <w:proofErr w:type="spellEnd"/>
      <w:r w:rsidR="00886443">
        <w:rPr>
          <w:rFonts w:ascii="Arial" w:hAnsi="Arial" w:cs="Arial"/>
          <w:sz w:val="20"/>
          <w:szCs w:val="20"/>
        </w:rPr>
        <w:t xml:space="preserve">, V (2010) and </w:t>
      </w:r>
      <w:proofErr w:type="spellStart"/>
      <w:r w:rsidR="00886443">
        <w:rPr>
          <w:rFonts w:ascii="Arial" w:hAnsi="Arial" w:cs="Arial"/>
          <w:sz w:val="20"/>
          <w:szCs w:val="20"/>
        </w:rPr>
        <w:t>Trowler</w:t>
      </w:r>
      <w:proofErr w:type="spellEnd"/>
      <w:r w:rsidR="00886443">
        <w:rPr>
          <w:rFonts w:ascii="Arial" w:hAnsi="Arial" w:cs="Arial"/>
          <w:sz w:val="20"/>
          <w:szCs w:val="20"/>
        </w:rPr>
        <w:t>, V, and</w:t>
      </w:r>
      <w:r>
        <w:rPr>
          <w:rFonts w:ascii="Arial" w:hAnsi="Arial" w:cs="Arial"/>
          <w:sz w:val="20"/>
          <w:szCs w:val="20"/>
        </w:rPr>
        <w:t xml:space="preserve"> </w:t>
      </w:r>
      <w:proofErr w:type="spellStart"/>
      <w:r>
        <w:rPr>
          <w:rFonts w:ascii="Arial" w:hAnsi="Arial" w:cs="Arial"/>
          <w:sz w:val="20"/>
          <w:szCs w:val="20"/>
        </w:rPr>
        <w:t>Trowler</w:t>
      </w:r>
      <w:proofErr w:type="spellEnd"/>
      <w:r w:rsidR="00886443">
        <w:rPr>
          <w:rFonts w:ascii="Arial" w:hAnsi="Arial" w:cs="Arial"/>
          <w:sz w:val="20"/>
          <w:szCs w:val="20"/>
        </w:rPr>
        <w:t>, P. (2010)</w:t>
      </w:r>
      <w:r>
        <w:rPr>
          <w:rFonts w:ascii="Arial" w:hAnsi="Arial" w:cs="Arial"/>
          <w:sz w:val="20"/>
          <w:szCs w:val="20"/>
        </w:rPr>
        <w:t xml:space="preserve"> have </w:t>
      </w:r>
      <w:r w:rsidR="00886443">
        <w:rPr>
          <w:rFonts w:ascii="Arial" w:hAnsi="Arial" w:cs="Arial"/>
          <w:sz w:val="20"/>
          <w:szCs w:val="20"/>
        </w:rPr>
        <w:t xml:space="preserve">recently </w:t>
      </w:r>
      <w:r>
        <w:rPr>
          <w:rFonts w:ascii="Arial" w:hAnsi="Arial" w:cs="Arial"/>
          <w:sz w:val="20"/>
          <w:szCs w:val="20"/>
        </w:rPr>
        <w:t>drawn together</w:t>
      </w:r>
      <w:r w:rsidR="00886443">
        <w:rPr>
          <w:rFonts w:ascii="Arial" w:hAnsi="Arial" w:cs="Arial"/>
          <w:sz w:val="20"/>
          <w:szCs w:val="20"/>
        </w:rPr>
        <w:t xml:space="preserve"> the international literature on the subject</w:t>
      </w:r>
      <w:r w:rsidR="00FF443E">
        <w:rPr>
          <w:rFonts w:ascii="Arial" w:hAnsi="Arial" w:cs="Arial"/>
          <w:sz w:val="20"/>
          <w:szCs w:val="20"/>
        </w:rPr>
        <w:t>.</w:t>
      </w:r>
      <w:r w:rsidR="00FF443E" w:rsidRPr="00FF443E">
        <w:rPr>
          <w:rFonts w:ascii="Arial" w:hAnsi="Arial" w:cs="Arial"/>
          <w:sz w:val="20"/>
          <w:szCs w:val="20"/>
        </w:rPr>
        <w:t xml:space="preserve"> </w:t>
      </w:r>
      <w:r w:rsidR="00221BCF">
        <w:rPr>
          <w:rFonts w:ascii="Arial" w:hAnsi="Arial" w:cs="Arial"/>
          <w:sz w:val="20"/>
          <w:szCs w:val="20"/>
        </w:rPr>
        <w:t>It should be stated that the main focus of the HEA’s interest in student engagement was on students being engaged in the shaping and design of the curriculum; however, owing to a paucity of literature in this area, other aspects, notably that relating to ‘individual student learning’, dominate the evidence reported.</w:t>
      </w:r>
      <w:r w:rsidR="009F6C00">
        <w:rPr>
          <w:rFonts w:ascii="Arial" w:hAnsi="Arial" w:cs="Arial"/>
          <w:sz w:val="20"/>
          <w:szCs w:val="20"/>
        </w:rPr>
        <w:t xml:space="preserve"> </w:t>
      </w:r>
      <w:r w:rsidR="00FF443E">
        <w:rPr>
          <w:rFonts w:ascii="Arial" w:hAnsi="Arial" w:cs="Arial"/>
          <w:sz w:val="20"/>
          <w:szCs w:val="20"/>
        </w:rPr>
        <w:t>The conceptual framework for th</w:t>
      </w:r>
      <w:r w:rsidR="00221BCF">
        <w:rPr>
          <w:rFonts w:ascii="Arial" w:hAnsi="Arial" w:cs="Arial"/>
          <w:sz w:val="20"/>
          <w:szCs w:val="20"/>
        </w:rPr>
        <w:t xml:space="preserve">is study draws heavily on this </w:t>
      </w:r>
      <w:r w:rsidR="00FF443E">
        <w:rPr>
          <w:rFonts w:ascii="Arial" w:hAnsi="Arial" w:cs="Arial"/>
          <w:sz w:val="20"/>
          <w:szCs w:val="20"/>
        </w:rPr>
        <w:t>work.</w:t>
      </w:r>
    </w:p>
    <w:p w:rsidR="005A76DD" w:rsidRPr="00EA2755" w:rsidRDefault="005A76DD" w:rsidP="00EA2755">
      <w:pPr>
        <w:pStyle w:val="ListParagraph"/>
        <w:numPr>
          <w:ilvl w:val="1"/>
          <w:numId w:val="9"/>
        </w:numPr>
        <w:ind w:left="567" w:hanging="567"/>
        <w:jc w:val="both"/>
        <w:rPr>
          <w:rFonts w:ascii="Arial" w:hAnsi="Arial" w:cs="Arial"/>
          <w:b/>
          <w:sz w:val="20"/>
          <w:szCs w:val="20"/>
        </w:rPr>
      </w:pPr>
      <w:r w:rsidRPr="00EA2755">
        <w:rPr>
          <w:rFonts w:ascii="Arial" w:hAnsi="Arial" w:cs="Arial"/>
          <w:b/>
          <w:sz w:val="20"/>
          <w:szCs w:val="20"/>
        </w:rPr>
        <w:t>Rigidity, Conformity and Uniformity</w:t>
      </w:r>
    </w:p>
    <w:p w:rsidR="005A76DD" w:rsidRPr="004E46FD" w:rsidRDefault="005A76DD" w:rsidP="005A76DD">
      <w:pPr>
        <w:jc w:val="both"/>
        <w:rPr>
          <w:rFonts w:ascii="Arial" w:hAnsi="Arial" w:cs="Arial"/>
          <w:sz w:val="20"/>
          <w:szCs w:val="20"/>
        </w:rPr>
      </w:pPr>
      <w:r>
        <w:rPr>
          <w:rFonts w:ascii="Arial" w:hAnsi="Arial" w:cs="Arial"/>
          <w:sz w:val="20"/>
          <w:szCs w:val="20"/>
        </w:rPr>
        <w:t xml:space="preserve">I would propose that innovation, enterprise, forward thinking and actions are founded upon risk-taking, mistake-making, flexibility and quick reaction time. I’m not sure that these principles adequately apply to the institutional processes of higher education. </w:t>
      </w:r>
      <w:r w:rsidR="008915AC" w:rsidRPr="004E46FD">
        <w:rPr>
          <w:rFonts w:ascii="Arial" w:hAnsi="Arial" w:cs="Arial"/>
          <w:sz w:val="20"/>
          <w:szCs w:val="20"/>
        </w:rPr>
        <w:t xml:space="preserve">It is, perhaps, </w:t>
      </w:r>
      <w:r w:rsidR="008915AC">
        <w:rPr>
          <w:rFonts w:ascii="Arial" w:hAnsi="Arial" w:cs="Arial"/>
          <w:sz w:val="20"/>
          <w:szCs w:val="20"/>
        </w:rPr>
        <w:t xml:space="preserve">the promotion of wisdom </w:t>
      </w:r>
      <w:r w:rsidR="008915AC" w:rsidRPr="004E46FD">
        <w:rPr>
          <w:rFonts w:ascii="Arial" w:hAnsi="Arial" w:cs="Arial"/>
          <w:sz w:val="20"/>
          <w:szCs w:val="20"/>
        </w:rPr>
        <w:t xml:space="preserve">that </w:t>
      </w:r>
      <w:r w:rsidR="008915AC">
        <w:rPr>
          <w:rFonts w:ascii="Arial" w:hAnsi="Arial" w:cs="Arial"/>
          <w:sz w:val="20"/>
          <w:szCs w:val="20"/>
        </w:rPr>
        <w:t xml:space="preserve">is missing from curriculum design in the vocational courses offered in universities. </w:t>
      </w:r>
      <w:proofErr w:type="spellStart"/>
      <w:r w:rsidR="008915AC">
        <w:rPr>
          <w:rFonts w:ascii="Arial" w:hAnsi="Arial" w:cs="Arial"/>
          <w:sz w:val="20"/>
          <w:szCs w:val="20"/>
        </w:rPr>
        <w:t>Baty</w:t>
      </w:r>
      <w:proofErr w:type="spellEnd"/>
      <w:r w:rsidR="008915AC">
        <w:rPr>
          <w:rFonts w:ascii="Arial" w:hAnsi="Arial" w:cs="Arial"/>
          <w:sz w:val="20"/>
          <w:szCs w:val="20"/>
        </w:rPr>
        <w:t xml:space="preserve"> (2011</w:t>
      </w:r>
      <w:r w:rsidR="00FF24D3">
        <w:rPr>
          <w:rFonts w:ascii="Arial" w:hAnsi="Arial" w:cs="Arial"/>
          <w:sz w:val="20"/>
          <w:szCs w:val="20"/>
        </w:rPr>
        <w:t>, p5</w:t>
      </w:r>
      <w:r w:rsidR="008915AC">
        <w:rPr>
          <w:rFonts w:ascii="Arial" w:hAnsi="Arial" w:cs="Arial"/>
          <w:sz w:val="20"/>
          <w:szCs w:val="20"/>
        </w:rPr>
        <w:t xml:space="preserve">) recently argued that graduates today are missing the key component of wisdom, necessary for entrepreneurship and advancement, and that distinguishes higher education from training for the workplace. </w:t>
      </w:r>
      <w:proofErr w:type="spellStart"/>
      <w:r w:rsidR="008915AC">
        <w:rPr>
          <w:rFonts w:ascii="Arial" w:hAnsi="Arial" w:cs="Arial"/>
          <w:sz w:val="20"/>
          <w:szCs w:val="20"/>
        </w:rPr>
        <w:t>Baty</w:t>
      </w:r>
      <w:proofErr w:type="spellEnd"/>
      <w:r w:rsidR="008915AC">
        <w:rPr>
          <w:rFonts w:ascii="Arial" w:hAnsi="Arial" w:cs="Arial"/>
          <w:sz w:val="20"/>
          <w:szCs w:val="20"/>
        </w:rPr>
        <w:t xml:space="preserve"> sums up his argument by saying: “The wise person can handle real world problems – those complex, ill-defined challenges whose contexts and parameters shift constantly”. </w:t>
      </w:r>
      <w:r>
        <w:rPr>
          <w:rFonts w:ascii="Arial" w:hAnsi="Arial" w:cs="Arial"/>
          <w:sz w:val="20"/>
          <w:szCs w:val="20"/>
        </w:rPr>
        <w:t>So a question to leave hanging for the duration of this paper is: “A</w:t>
      </w:r>
      <w:r w:rsidRPr="005A76DD">
        <w:rPr>
          <w:rFonts w:ascii="Arial" w:hAnsi="Arial" w:cs="Arial"/>
          <w:sz w:val="20"/>
          <w:szCs w:val="20"/>
        </w:rPr>
        <w:t>re we</w:t>
      </w:r>
      <w:r>
        <w:rPr>
          <w:rFonts w:ascii="Arial" w:hAnsi="Arial" w:cs="Arial"/>
          <w:sz w:val="20"/>
          <w:szCs w:val="20"/>
        </w:rPr>
        <w:t>, in academia,</w:t>
      </w:r>
      <w:r w:rsidRPr="005A76DD">
        <w:rPr>
          <w:rFonts w:ascii="Arial" w:hAnsi="Arial" w:cs="Arial"/>
          <w:sz w:val="20"/>
          <w:szCs w:val="20"/>
        </w:rPr>
        <w:t xml:space="preserve"> too closely bound by curriculum, conventions, rules procedures and the fear of possible litigation to allow for the promotion and embedding of those key entrepreneurial attributes </w:t>
      </w:r>
      <w:r w:rsidRPr="004E46FD">
        <w:rPr>
          <w:rFonts w:ascii="Arial" w:hAnsi="Arial" w:cs="Arial"/>
          <w:sz w:val="20"/>
          <w:szCs w:val="20"/>
        </w:rPr>
        <w:t xml:space="preserve">of </w:t>
      </w:r>
      <w:r w:rsidR="00FF24D3">
        <w:rPr>
          <w:rFonts w:ascii="Arial" w:hAnsi="Arial" w:cs="Arial"/>
          <w:sz w:val="20"/>
          <w:szCs w:val="20"/>
        </w:rPr>
        <w:t xml:space="preserve">wisdom, </w:t>
      </w:r>
      <w:r w:rsidRPr="004E46FD">
        <w:rPr>
          <w:rFonts w:ascii="Arial" w:hAnsi="Arial" w:cs="Arial"/>
          <w:sz w:val="20"/>
          <w:szCs w:val="20"/>
        </w:rPr>
        <w:t>risk-taking and mistakes-making?”</w:t>
      </w:r>
      <w:r w:rsidR="00BA2688" w:rsidRPr="004E46FD">
        <w:rPr>
          <w:rFonts w:ascii="Arial" w:hAnsi="Arial" w:cs="Arial"/>
          <w:sz w:val="20"/>
          <w:szCs w:val="20"/>
        </w:rPr>
        <w:t xml:space="preserve"> As Mark Twain stated:</w:t>
      </w:r>
    </w:p>
    <w:p w:rsidR="00BA2688" w:rsidRPr="004E46FD" w:rsidRDefault="00BA2688" w:rsidP="00BA2688">
      <w:pPr>
        <w:pStyle w:val="Heading2"/>
        <w:ind w:left="720" w:firstLine="0"/>
        <w:jc w:val="both"/>
        <w:rPr>
          <w:i/>
          <w:iCs/>
          <w:sz w:val="20"/>
          <w:szCs w:val="20"/>
          <w:lang w:val="en-US"/>
        </w:rPr>
      </w:pPr>
      <w:r w:rsidRPr="004E46FD">
        <w:rPr>
          <w:i/>
          <w:iCs/>
          <w:sz w:val="20"/>
          <w:szCs w:val="20"/>
        </w:rPr>
        <w:t xml:space="preserve">“We should be careful to get out of an experience only the wisdom that is in it, and stop there, lest we be like the cat that sits on the hot stove lid. She will never sit down on a hot stove lid again and that is well, but she will never sit down on a cold one either”….. </w:t>
      </w:r>
      <w:r w:rsidRPr="004E46FD">
        <w:rPr>
          <w:sz w:val="20"/>
          <w:szCs w:val="20"/>
        </w:rPr>
        <w:t>(Mark Twain)</w:t>
      </w:r>
    </w:p>
    <w:p w:rsidR="004E46FD" w:rsidRDefault="004E46FD" w:rsidP="004E46FD">
      <w:pPr>
        <w:jc w:val="both"/>
        <w:rPr>
          <w:rFonts w:ascii="Arial" w:hAnsi="Arial" w:cs="Arial"/>
          <w:sz w:val="20"/>
          <w:szCs w:val="20"/>
        </w:rPr>
      </w:pPr>
    </w:p>
    <w:p w:rsidR="00862FCD" w:rsidRPr="00C37702" w:rsidRDefault="00862FCD" w:rsidP="00C37702">
      <w:pPr>
        <w:pStyle w:val="ListParagraph"/>
        <w:numPr>
          <w:ilvl w:val="0"/>
          <w:numId w:val="5"/>
        </w:numPr>
        <w:jc w:val="both"/>
        <w:rPr>
          <w:rFonts w:ascii="Arial" w:hAnsi="Arial" w:cs="Arial"/>
          <w:b/>
        </w:rPr>
      </w:pPr>
      <w:r w:rsidRPr="00C37702">
        <w:rPr>
          <w:rFonts w:ascii="Arial" w:hAnsi="Arial" w:cs="Arial"/>
          <w:b/>
        </w:rPr>
        <w:t xml:space="preserve">Methodology </w:t>
      </w:r>
    </w:p>
    <w:p w:rsidR="00862FCD" w:rsidRDefault="00862FCD" w:rsidP="00FF443E">
      <w:pPr>
        <w:jc w:val="both"/>
        <w:rPr>
          <w:rFonts w:ascii="Arial" w:hAnsi="Arial" w:cs="Arial"/>
          <w:sz w:val="20"/>
          <w:szCs w:val="20"/>
        </w:rPr>
      </w:pPr>
      <w:r w:rsidRPr="00CC1974">
        <w:rPr>
          <w:rFonts w:ascii="Arial" w:hAnsi="Arial" w:cs="Arial"/>
          <w:sz w:val="20"/>
          <w:szCs w:val="20"/>
        </w:rPr>
        <w:t xml:space="preserve">Data for the study were collected </w:t>
      </w:r>
      <w:r w:rsidR="007875B3">
        <w:rPr>
          <w:rFonts w:ascii="Arial" w:hAnsi="Arial" w:cs="Arial"/>
          <w:sz w:val="20"/>
          <w:szCs w:val="20"/>
        </w:rPr>
        <w:t xml:space="preserve">from records, </w:t>
      </w:r>
      <w:r w:rsidR="00F86055">
        <w:rPr>
          <w:rFonts w:ascii="Arial" w:hAnsi="Arial" w:cs="Arial"/>
          <w:sz w:val="20"/>
          <w:szCs w:val="20"/>
        </w:rPr>
        <w:t>by observant</w:t>
      </w:r>
      <w:r w:rsidRPr="00CC1974">
        <w:rPr>
          <w:rFonts w:ascii="Arial" w:hAnsi="Arial" w:cs="Arial"/>
          <w:sz w:val="20"/>
          <w:szCs w:val="20"/>
        </w:rPr>
        <w:t xml:space="preserve"> participation with students, supported by individual conversations and focus group sessions with a sample of students from the built environment disciplines. These data were </w:t>
      </w:r>
      <w:proofErr w:type="spellStart"/>
      <w:r w:rsidRPr="00CC1974">
        <w:rPr>
          <w:rFonts w:ascii="Arial" w:hAnsi="Arial" w:cs="Arial"/>
          <w:sz w:val="20"/>
          <w:szCs w:val="20"/>
        </w:rPr>
        <w:t>analysed</w:t>
      </w:r>
      <w:proofErr w:type="spellEnd"/>
      <w:r w:rsidRPr="00CC1974">
        <w:rPr>
          <w:rFonts w:ascii="Arial" w:hAnsi="Arial" w:cs="Arial"/>
          <w:sz w:val="20"/>
          <w:szCs w:val="20"/>
        </w:rPr>
        <w:t xml:space="preserve"> in conjunction with data obtained </w:t>
      </w:r>
      <w:r w:rsidR="005A76DD">
        <w:rPr>
          <w:rFonts w:ascii="Arial" w:hAnsi="Arial" w:cs="Arial"/>
          <w:sz w:val="20"/>
          <w:szCs w:val="20"/>
        </w:rPr>
        <w:t xml:space="preserve">by semi-structured interviews </w:t>
      </w:r>
      <w:r w:rsidRPr="00CC1974">
        <w:rPr>
          <w:rFonts w:ascii="Arial" w:hAnsi="Arial" w:cs="Arial"/>
          <w:sz w:val="20"/>
          <w:szCs w:val="20"/>
        </w:rPr>
        <w:t xml:space="preserve">from six tutors on built environment </w:t>
      </w:r>
      <w:proofErr w:type="spellStart"/>
      <w:r w:rsidRPr="00CC1974">
        <w:rPr>
          <w:rFonts w:ascii="Arial" w:hAnsi="Arial" w:cs="Arial"/>
          <w:sz w:val="20"/>
          <w:szCs w:val="20"/>
        </w:rPr>
        <w:t>programmes</w:t>
      </w:r>
      <w:proofErr w:type="spellEnd"/>
      <w:r w:rsidRPr="00CC1974">
        <w:rPr>
          <w:rFonts w:ascii="Arial" w:hAnsi="Arial" w:cs="Arial"/>
          <w:sz w:val="20"/>
          <w:szCs w:val="20"/>
        </w:rPr>
        <w:t xml:space="preserve"> and a framework of findings was built.</w:t>
      </w:r>
    </w:p>
    <w:p w:rsidR="00D27483" w:rsidRPr="00C37702" w:rsidRDefault="006754B6" w:rsidP="00C37702">
      <w:pPr>
        <w:pStyle w:val="ListParagraph"/>
        <w:numPr>
          <w:ilvl w:val="0"/>
          <w:numId w:val="5"/>
        </w:numPr>
        <w:jc w:val="both"/>
        <w:rPr>
          <w:rFonts w:ascii="Arial" w:hAnsi="Arial" w:cs="Arial"/>
          <w:b/>
        </w:rPr>
      </w:pPr>
      <w:r w:rsidRPr="00C37702">
        <w:rPr>
          <w:rFonts w:ascii="Arial" w:hAnsi="Arial" w:cs="Arial"/>
          <w:b/>
        </w:rPr>
        <w:t>Student Engagement</w:t>
      </w:r>
      <w:r w:rsidR="008F1E44" w:rsidRPr="00C37702">
        <w:rPr>
          <w:rFonts w:ascii="Arial" w:hAnsi="Arial" w:cs="Arial"/>
          <w:b/>
        </w:rPr>
        <w:t>; the Literature</w:t>
      </w:r>
    </w:p>
    <w:p w:rsidR="009A1E00" w:rsidRDefault="009A1E00" w:rsidP="009A1E00">
      <w:pPr>
        <w:pStyle w:val="NormalWeb"/>
        <w:jc w:val="both"/>
        <w:rPr>
          <w:rFonts w:ascii="Arial" w:hAnsi="Arial" w:cs="Arial"/>
          <w:sz w:val="20"/>
          <w:szCs w:val="20"/>
        </w:rPr>
      </w:pPr>
      <w:r>
        <w:rPr>
          <w:rFonts w:ascii="Arial" w:hAnsi="Arial" w:cs="Arial"/>
          <w:sz w:val="20"/>
          <w:szCs w:val="20"/>
        </w:rPr>
        <w:t>The literature revealed that s</w:t>
      </w:r>
      <w:r w:rsidR="006754B6" w:rsidRPr="00CC1974">
        <w:rPr>
          <w:rFonts w:ascii="Arial" w:hAnsi="Arial" w:cs="Arial"/>
          <w:sz w:val="20"/>
          <w:szCs w:val="20"/>
        </w:rPr>
        <w:t>tudent engagement is a term that may be interpreted in several different ways and may</w:t>
      </w:r>
      <w:r>
        <w:rPr>
          <w:rFonts w:ascii="Arial" w:hAnsi="Arial" w:cs="Arial"/>
          <w:sz w:val="20"/>
          <w:szCs w:val="20"/>
        </w:rPr>
        <w:t xml:space="preserve"> project different meanings; for example,</w:t>
      </w:r>
      <w:r w:rsidRPr="009A1E00">
        <w:rPr>
          <w:rFonts w:ascii="Arial" w:hAnsi="Arial" w:cs="Arial"/>
          <w:sz w:val="20"/>
          <w:szCs w:val="20"/>
        </w:rPr>
        <w:t xml:space="preserve"> </w:t>
      </w:r>
      <w:proofErr w:type="spellStart"/>
      <w:r w:rsidRPr="009A1E00">
        <w:rPr>
          <w:rFonts w:ascii="Arial" w:hAnsi="Arial" w:cs="Arial"/>
          <w:sz w:val="20"/>
          <w:szCs w:val="20"/>
        </w:rPr>
        <w:t>Kuh</w:t>
      </w:r>
      <w:proofErr w:type="spellEnd"/>
      <w:r w:rsidR="00012019">
        <w:rPr>
          <w:rFonts w:ascii="Arial" w:hAnsi="Arial" w:cs="Arial"/>
          <w:sz w:val="20"/>
          <w:szCs w:val="20"/>
        </w:rPr>
        <w:t xml:space="preserve"> (2009) explained</w:t>
      </w:r>
      <w:r>
        <w:rPr>
          <w:rFonts w:ascii="Arial" w:hAnsi="Arial" w:cs="Arial"/>
          <w:sz w:val="20"/>
          <w:szCs w:val="20"/>
        </w:rPr>
        <w:t xml:space="preserve"> it thus:</w:t>
      </w:r>
    </w:p>
    <w:p w:rsidR="009A1E00" w:rsidRPr="009A1E00" w:rsidRDefault="009A1E00" w:rsidP="009A1E00">
      <w:pPr>
        <w:pStyle w:val="NormalWeb"/>
        <w:ind w:left="720"/>
        <w:jc w:val="both"/>
        <w:rPr>
          <w:rFonts w:ascii="Arial" w:hAnsi="Arial" w:cs="Arial"/>
          <w:i/>
          <w:sz w:val="20"/>
          <w:szCs w:val="20"/>
        </w:rPr>
      </w:pPr>
      <w:r>
        <w:rPr>
          <w:rFonts w:ascii="Arial" w:hAnsi="Arial" w:cs="Arial"/>
          <w:i/>
          <w:sz w:val="20"/>
          <w:szCs w:val="20"/>
        </w:rPr>
        <w:t>‘</w:t>
      </w:r>
      <w:r w:rsidRPr="009A1E00">
        <w:rPr>
          <w:rFonts w:ascii="Arial" w:hAnsi="Arial" w:cs="Arial"/>
          <w:i/>
          <w:sz w:val="20"/>
          <w:szCs w:val="20"/>
        </w:rPr>
        <w:t>The engagement premise is straightforward and easily understood: the more students study a subject, the more they know about it, and the more students practice and get feedback from faculty and staff members on their writing and collaborative problem solving, the deeper they come to understand what they are learning and the more adept they become at managing complexity, tolerating ambiguity, and working with people from different backgrounds or with different views.</w:t>
      </w:r>
      <w:r>
        <w:rPr>
          <w:rFonts w:ascii="Arial" w:hAnsi="Arial" w:cs="Arial"/>
          <w:i/>
          <w:sz w:val="20"/>
          <w:szCs w:val="20"/>
        </w:rPr>
        <w:t>’</w:t>
      </w:r>
    </w:p>
    <w:p w:rsidR="00DB353D" w:rsidRPr="006754B6" w:rsidRDefault="009F6C00" w:rsidP="00DB353D">
      <w:pPr>
        <w:jc w:val="both"/>
        <w:rPr>
          <w:sz w:val="20"/>
          <w:szCs w:val="20"/>
        </w:rPr>
      </w:pPr>
      <w:proofErr w:type="spellStart"/>
      <w:proofErr w:type="gramStart"/>
      <w:r>
        <w:rPr>
          <w:rFonts w:ascii="Arial" w:hAnsi="Arial" w:cs="Arial"/>
          <w:sz w:val="20"/>
          <w:szCs w:val="20"/>
        </w:rPr>
        <w:lastRenderedPageBreak/>
        <w:t>Trowler</w:t>
      </w:r>
      <w:proofErr w:type="spellEnd"/>
      <w:r>
        <w:rPr>
          <w:rFonts w:ascii="Arial" w:hAnsi="Arial" w:cs="Arial"/>
          <w:sz w:val="20"/>
          <w:szCs w:val="20"/>
        </w:rPr>
        <w:t xml:space="preserve"> (2010, p</w:t>
      </w:r>
      <w:r w:rsidR="00DB353D">
        <w:rPr>
          <w:rFonts w:ascii="Arial" w:hAnsi="Arial" w:cs="Arial"/>
          <w:sz w:val="20"/>
          <w:szCs w:val="20"/>
        </w:rPr>
        <w:t>8) extracted several distinctive definitions from the international literature.</w:t>
      </w:r>
      <w:proofErr w:type="gramEnd"/>
      <w:r w:rsidR="00DB353D">
        <w:rPr>
          <w:rFonts w:ascii="Arial" w:hAnsi="Arial" w:cs="Arial"/>
          <w:sz w:val="20"/>
          <w:szCs w:val="20"/>
        </w:rPr>
        <w:t xml:space="preserve"> The common factor in the definitions was the express or implied references to ‘outcomes’ and the correspondence of the students’ input to the achievement of optimal outcomes. The Australian Survey of Student Engagement (AUSSE) supports universities in their mission to engage students in ways that produce high quality outcomes. It ‘</w:t>
      </w:r>
      <w:r w:rsidR="00DB353D" w:rsidRPr="00595E7B">
        <w:rPr>
          <w:rFonts w:ascii="Arial" w:hAnsi="Arial" w:cs="Arial"/>
          <w:i/>
          <w:sz w:val="20"/>
          <w:szCs w:val="20"/>
        </w:rPr>
        <w:t>stimulates evidence-based conversations about students’ involvement in activities and conditions that empirical research has linked with high quality learning and development’</w:t>
      </w:r>
      <w:r w:rsidR="00DB353D">
        <w:rPr>
          <w:rFonts w:ascii="Arial" w:hAnsi="Arial" w:cs="Arial"/>
          <w:i/>
          <w:sz w:val="20"/>
          <w:szCs w:val="20"/>
        </w:rPr>
        <w:t xml:space="preserve"> </w:t>
      </w:r>
      <w:r w:rsidR="00DB353D">
        <w:rPr>
          <w:rFonts w:ascii="Arial" w:hAnsi="Arial" w:cs="Arial"/>
          <w:sz w:val="20"/>
          <w:szCs w:val="20"/>
        </w:rPr>
        <w:t xml:space="preserve">(AUSSE, </w:t>
      </w:r>
      <w:r w:rsidR="00DB353D" w:rsidRPr="00595E7B">
        <w:rPr>
          <w:rFonts w:ascii="Arial" w:hAnsi="Arial" w:cs="Arial"/>
          <w:sz w:val="20"/>
          <w:szCs w:val="20"/>
        </w:rPr>
        <w:t>2009</w:t>
      </w:r>
      <w:r>
        <w:rPr>
          <w:rFonts w:ascii="Arial" w:hAnsi="Arial" w:cs="Arial"/>
          <w:sz w:val="20"/>
          <w:szCs w:val="20"/>
        </w:rPr>
        <w:t>, p</w:t>
      </w:r>
      <w:r w:rsidR="00DB353D">
        <w:rPr>
          <w:rFonts w:ascii="Arial" w:hAnsi="Arial" w:cs="Arial"/>
          <w:sz w:val="20"/>
          <w:szCs w:val="20"/>
        </w:rPr>
        <w:t>8</w:t>
      </w:r>
      <w:r w:rsidR="00DB353D" w:rsidRPr="00595E7B">
        <w:rPr>
          <w:rFonts w:ascii="Arial" w:hAnsi="Arial" w:cs="Arial"/>
          <w:sz w:val="20"/>
          <w:szCs w:val="20"/>
        </w:rPr>
        <w:t>).</w:t>
      </w:r>
      <w:r w:rsidR="00DB353D">
        <w:rPr>
          <w:rFonts w:ascii="Arial" w:hAnsi="Arial" w:cs="Arial"/>
          <w:sz w:val="20"/>
          <w:szCs w:val="20"/>
        </w:rPr>
        <w:t xml:space="preserve"> The debate leading to this study inferred a meaning for student engagement that incorporated expressed adjectives such as commitment, participation, priority, motivation and management. Whilst not expressed, the discussion implied enhanced outcomes from such student engagement that would lead to readiness for work. This study uses </w:t>
      </w:r>
      <w:proofErr w:type="spellStart"/>
      <w:r w:rsidR="00DB353D">
        <w:rPr>
          <w:rFonts w:ascii="Arial" w:hAnsi="Arial" w:cs="Arial"/>
          <w:sz w:val="20"/>
          <w:szCs w:val="20"/>
        </w:rPr>
        <w:t>Hu</w:t>
      </w:r>
      <w:proofErr w:type="spellEnd"/>
      <w:r w:rsidR="00DB353D">
        <w:rPr>
          <w:rFonts w:ascii="Arial" w:hAnsi="Arial" w:cs="Arial"/>
          <w:sz w:val="20"/>
          <w:szCs w:val="20"/>
        </w:rPr>
        <w:t xml:space="preserve"> and </w:t>
      </w:r>
      <w:proofErr w:type="spellStart"/>
      <w:r w:rsidR="00DB353D">
        <w:rPr>
          <w:rFonts w:ascii="Arial" w:hAnsi="Arial" w:cs="Arial"/>
          <w:sz w:val="20"/>
          <w:szCs w:val="20"/>
        </w:rPr>
        <w:t>Kuh’s</w:t>
      </w:r>
      <w:proofErr w:type="spellEnd"/>
      <w:r w:rsidR="00DB353D">
        <w:rPr>
          <w:rFonts w:ascii="Arial" w:hAnsi="Arial" w:cs="Arial"/>
          <w:sz w:val="20"/>
          <w:szCs w:val="20"/>
        </w:rPr>
        <w:t xml:space="preserve"> 2001 interpretation of student engagement as being apt; i.e.: </w:t>
      </w:r>
      <w:r w:rsidR="00DB353D" w:rsidRPr="00933F15">
        <w:rPr>
          <w:rFonts w:ascii="Arial" w:hAnsi="Arial" w:cs="Arial"/>
          <w:i/>
          <w:sz w:val="20"/>
          <w:szCs w:val="20"/>
        </w:rPr>
        <w:t>‘the quality of effort students themselves devote to educationally purposive activities that contribute directly to desired outcomes’</w:t>
      </w:r>
      <w:r>
        <w:rPr>
          <w:rFonts w:ascii="Arial" w:hAnsi="Arial" w:cs="Arial"/>
          <w:sz w:val="20"/>
          <w:szCs w:val="20"/>
        </w:rPr>
        <w:t xml:space="preserve"> (</w:t>
      </w:r>
      <w:proofErr w:type="spellStart"/>
      <w:r>
        <w:rPr>
          <w:rFonts w:ascii="Arial" w:hAnsi="Arial" w:cs="Arial"/>
          <w:sz w:val="20"/>
          <w:szCs w:val="20"/>
        </w:rPr>
        <w:t>Hu,and</w:t>
      </w:r>
      <w:proofErr w:type="spellEnd"/>
      <w:r>
        <w:rPr>
          <w:rFonts w:ascii="Arial" w:hAnsi="Arial" w:cs="Arial"/>
          <w:sz w:val="20"/>
          <w:szCs w:val="20"/>
        </w:rPr>
        <w:t xml:space="preserve"> </w:t>
      </w:r>
      <w:proofErr w:type="spellStart"/>
      <w:r>
        <w:rPr>
          <w:rFonts w:ascii="Arial" w:hAnsi="Arial" w:cs="Arial"/>
          <w:sz w:val="20"/>
          <w:szCs w:val="20"/>
        </w:rPr>
        <w:t>Kuh</w:t>
      </w:r>
      <w:proofErr w:type="spellEnd"/>
      <w:r>
        <w:rPr>
          <w:rFonts w:ascii="Arial" w:hAnsi="Arial" w:cs="Arial"/>
          <w:sz w:val="20"/>
          <w:szCs w:val="20"/>
        </w:rPr>
        <w:t xml:space="preserve">, 2001, p3; in </w:t>
      </w:r>
      <w:proofErr w:type="spellStart"/>
      <w:r>
        <w:rPr>
          <w:rFonts w:ascii="Arial" w:hAnsi="Arial" w:cs="Arial"/>
          <w:sz w:val="20"/>
          <w:szCs w:val="20"/>
        </w:rPr>
        <w:t>Trowler</w:t>
      </w:r>
      <w:proofErr w:type="spellEnd"/>
      <w:r>
        <w:rPr>
          <w:rFonts w:ascii="Arial" w:hAnsi="Arial" w:cs="Arial"/>
          <w:sz w:val="20"/>
          <w:szCs w:val="20"/>
        </w:rPr>
        <w:t>, V. 2010, p</w:t>
      </w:r>
      <w:r w:rsidR="00DB353D">
        <w:rPr>
          <w:rFonts w:ascii="Arial" w:hAnsi="Arial" w:cs="Arial"/>
          <w:sz w:val="20"/>
          <w:szCs w:val="20"/>
        </w:rPr>
        <w:t>9)</w:t>
      </w:r>
    </w:p>
    <w:p w:rsidR="00840C59" w:rsidRDefault="00012019" w:rsidP="009A1E00">
      <w:pPr>
        <w:jc w:val="both"/>
        <w:rPr>
          <w:rFonts w:ascii="Arial" w:hAnsi="Arial" w:cs="Arial"/>
          <w:sz w:val="20"/>
          <w:szCs w:val="20"/>
        </w:rPr>
      </w:pPr>
      <w:proofErr w:type="spellStart"/>
      <w:r w:rsidRPr="00CC1974">
        <w:rPr>
          <w:rFonts w:ascii="Arial" w:hAnsi="Arial" w:cs="Arial"/>
          <w:sz w:val="20"/>
          <w:szCs w:val="20"/>
        </w:rPr>
        <w:t>Trowle</w:t>
      </w:r>
      <w:r>
        <w:rPr>
          <w:rFonts w:ascii="Arial" w:hAnsi="Arial" w:cs="Arial"/>
          <w:sz w:val="20"/>
          <w:szCs w:val="20"/>
        </w:rPr>
        <w:t>r’s</w:t>
      </w:r>
      <w:proofErr w:type="spellEnd"/>
      <w:r>
        <w:rPr>
          <w:rFonts w:ascii="Arial" w:hAnsi="Arial" w:cs="Arial"/>
          <w:sz w:val="20"/>
          <w:szCs w:val="20"/>
        </w:rPr>
        <w:t xml:space="preserve"> and </w:t>
      </w:r>
      <w:proofErr w:type="spellStart"/>
      <w:r>
        <w:rPr>
          <w:rFonts w:ascii="Arial" w:hAnsi="Arial" w:cs="Arial"/>
          <w:sz w:val="20"/>
          <w:szCs w:val="20"/>
        </w:rPr>
        <w:t>Trowler’s</w:t>
      </w:r>
      <w:proofErr w:type="spellEnd"/>
      <w:r>
        <w:rPr>
          <w:rFonts w:ascii="Arial" w:hAnsi="Arial" w:cs="Arial"/>
          <w:sz w:val="20"/>
          <w:szCs w:val="20"/>
        </w:rPr>
        <w:t xml:space="preserve"> (2010)</w:t>
      </w:r>
      <w:r w:rsidRPr="00CC1974">
        <w:rPr>
          <w:rFonts w:ascii="Arial" w:hAnsi="Arial" w:cs="Arial"/>
          <w:sz w:val="20"/>
          <w:szCs w:val="20"/>
        </w:rPr>
        <w:t xml:space="preserve"> student e</w:t>
      </w:r>
      <w:r>
        <w:rPr>
          <w:rFonts w:ascii="Arial" w:hAnsi="Arial" w:cs="Arial"/>
          <w:sz w:val="20"/>
          <w:szCs w:val="20"/>
        </w:rPr>
        <w:t>ngagement literature review</w:t>
      </w:r>
      <w:r w:rsidRPr="00CC1974">
        <w:rPr>
          <w:rFonts w:ascii="Arial" w:hAnsi="Arial" w:cs="Arial"/>
          <w:sz w:val="20"/>
          <w:szCs w:val="20"/>
        </w:rPr>
        <w:t xml:space="preserve"> presented a “matrix of areas covered by the term ‘student engagement’”. </w:t>
      </w:r>
      <w:r w:rsidR="00840C59">
        <w:rPr>
          <w:rFonts w:ascii="Arial" w:hAnsi="Arial" w:cs="Arial"/>
          <w:sz w:val="20"/>
          <w:szCs w:val="20"/>
        </w:rPr>
        <w:t>In order to make sense of this matrix, t</w:t>
      </w:r>
      <w:r w:rsidRPr="00CC1974">
        <w:rPr>
          <w:rFonts w:ascii="Arial" w:hAnsi="Arial" w:cs="Arial"/>
          <w:sz w:val="20"/>
          <w:szCs w:val="20"/>
        </w:rPr>
        <w:t xml:space="preserve">hey also identified </w:t>
      </w:r>
      <w:r w:rsidR="00840C59">
        <w:rPr>
          <w:rFonts w:ascii="Arial" w:hAnsi="Arial" w:cs="Arial"/>
          <w:sz w:val="20"/>
          <w:szCs w:val="20"/>
        </w:rPr>
        <w:t>as foci of engagement,</w:t>
      </w:r>
      <w:r w:rsidR="00840C59" w:rsidRPr="00CC1974">
        <w:rPr>
          <w:rFonts w:ascii="Arial" w:hAnsi="Arial" w:cs="Arial"/>
          <w:sz w:val="20"/>
          <w:szCs w:val="20"/>
        </w:rPr>
        <w:t xml:space="preserve"> </w:t>
      </w:r>
      <w:r w:rsidRPr="00CC1974">
        <w:rPr>
          <w:rFonts w:ascii="Arial" w:hAnsi="Arial" w:cs="Arial"/>
          <w:sz w:val="20"/>
          <w:szCs w:val="20"/>
        </w:rPr>
        <w:t>“</w:t>
      </w:r>
      <w:r w:rsidR="00840C59">
        <w:rPr>
          <w:rFonts w:ascii="Arial" w:hAnsi="Arial" w:cs="Arial"/>
          <w:sz w:val="20"/>
          <w:szCs w:val="20"/>
        </w:rPr>
        <w:t xml:space="preserve">3 axes </w:t>
      </w:r>
      <w:r w:rsidRPr="00CC1974">
        <w:rPr>
          <w:rFonts w:ascii="Arial" w:hAnsi="Arial" w:cs="Arial"/>
          <w:sz w:val="20"/>
          <w:szCs w:val="20"/>
        </w:rPr>
        <w:t xml:space="preserve">along which student engagement literature can be located, viz. individual student learning, structure and process, and identity”. </w:t>
      </w:r>
      <w:r w:rsidR="00840C59">
        <w:rPr>
          <w:rFonts w:ascii="Arial" w:hAnsi="Arial" w:cs="Arial"/>
          <w:sz w:val="20"/>
          <w:szCs w:val="20"/>
        </w:rPr>
        <w:t>The axis of individual student learning included:</w:t>
      </w:r>
    </w:p>
    <w:p w:rsidR="00840C59" w:rsidRDefault="00840C59" w:rsidP="00840C59">
      <w:pPr>
        <w:pStyle w:val="ListParagraph"/>
        <w:numPr>
          <w:ilvl w:val="0"/>
          <w:numId w:val="6"/>
        </w:numPr>
        <w:jc w:val="both"/>
        <w:rPr>
          <w:rFonts w:ascii="Arial" w:hAnsi="Arial" w:cs="Arial"/>
          <w:sz w:val="20"/>
          <w:szCs w:val="20"/>
        </w:rPr>
      </w:pPr>
      <w:r>
        <w:rPr>
          <w:rFonts w:ascii="Arial" w:hAnsi="Arial" w:cs="Arial"/>
          <w:sz w:val="20"/>
          <w:szCs w:val="20"/>
        </w:rPr>
        <w:t>Student attention in learning</w:t>
      </w:r>
      <w:r w:rsidR="0089286C">
        <w:rPr>
          <w:rFonts w:ascii="Arial" w:hAnsi="Arial" w:cs="Arial"/>
          <w:sz w:val="20"/>
          <w:szCs w:val="20"/>
        </w:rPr>
        <w:t>;</w:t>
      </w:r>
    </w:p>
    <w:p w:rsidR="00840C59" w:rsidRDefault="00840C59" w:rsidP="00840C59">
      <w:pPr>
        <w:pStyle w:val="ListParagraph"/>
        <w:numPr>
          <w:ilvl w:val="0"/>
          <w:numId w:val="6"/>
        </w:numPr>
        <w:jc w:val="both"/>
        <w:rPr>
          <w:rFonts w:ascii="Arial" w:hAnsi="Arial" w:cs="Arial"/>
          <w:sz w:val="20"/>
          <w:szCs w:val="20"/>
        </w:rPr>
      </w:pPr>
      <w:r>
        <w:rPr>
          <w:rFonts w:ascii="Arial" w:hAnsi="Arial" w:cs="Arial"/>
          <w:sz w:val="20"/>
          <w:szCs w:val="20"/>
        </w:rPr>
        <w:t>Student interest in learning</w:t>
      </w:r>
      <w:r w:rsidR="0089286C">
        <w:rPr>
          <w:rFonts w:ascii="Arial" w:hAnsi="Arial" w:cs="Arial"/>
          <w:sz w:val="20"/>
          <w:szCs w:val="20"/>
        </w:rPr>
        <w:t>;</w:t>
      </w:r>
    </w:p>
    <w:p w:rsidR="00840C59" w:rsidRDefault="00840C59" w:rsidP="00840C59">
      <w:pPr>
        <w:pStyle w:val="ListParagraph"/>
        <w:numPr>
          <w:ilvl w:val="0"/>
          <w:numId w:val="6"/>
        </w:numPr>
        <w:jc w:val="both"/>
        <w:rPr>
          <w:rFonts w:ascii="Arial" w:hAnsi="Arial" w:cs="Arial"/>
          <w:sz w:val="20"/>
          <w:szCs w:val="20"/>
        </w:rPr>
      </w:pPr>
      <w:r>
        <w:rPr>
          <w:rFonts w:ascii="Arial" w:hAnsi="Arial" w:cs="Arial"/>
          <w:sz w:val="20"/>
          <w:szCs w:val="20"/>
        </w:rPr>
        <w:t>Student involvement in learning</w:t>
      </w:r>
      <w:r w:rsidR="0089286C">
        <w:rPr>
          <w:rFonts w:ascii="Arial" w:hAnsi="Arial" w:cs="Arial"/>
          <w:sz w:val="20"/>
          <w:szCs w:val="20"/>
        </w:rPr>
        <w:t>;</w:t>
      </w:r>
    </w:p>
    <w:p w:rsidR="00840C59" w:rsidRDefault="00840C59" w:rsidP="00840C59">
      <w:pPr>
        <w:pStyle w:val="ListParagraph"/>
        <w:numPr>
          <w:ilvl w:val="0"/>
          <w:numId w:val="6"/>
        </w:numPr>
        <w:jc w:val="both"/>
        <w:rPr>
          <w:rFonts w:ascii="Arial" w:hAnsi="Arial" w:cs="Arial"/>
          <w:sz w:val="20"/>
          <w:szCs w:val="20"/>
        </w:rPr>
      </w:pPr>
      <w:r>
        <w:rPr>
          <w:rFonts w:ascii="Arial" w:hAnsi="Arial" w:cs="Arial"/>
          <w:sz w:val="20"/>
          <w:szCs w:val="20"/>
        </w:rPr>
        <w:t>Student (active) participation in learning</w:t>
      </w:r>
      <w:r w:rsidR="0089286C">
        <w:rPr>
          <w:rFonts w:ascii="Arial" w:hAnsi="Arial" w:cs="Arial"/>
          <w:sz w:val="20"/>
          <w:szCs w:val="20"/>
        </w:rPr>
        <w:t>;</w:t>
      </w:r>
    </w:p>
    <w:p w:rsidR="0089286C" w:rsidRDefault="00840C59" w:rsidP="0089286C">
      <w:pPr>
        <w:pStyle w:val="ListParagraph"/>
        <w:numPr>
          <w:ilvl w:val="0"/>
          <w:numId w:val="6"/>
        </w:numPr>
        <w:jc w:val="both"/>
        <w:rPr>
          <w:rFonts w:ascii="Arial" w:hAnsi="Arial" w:cs="Arial"/>
          <w:sz w:val="20"/>
          <w:szCs w:val="20"/>
        </w:rPr>
      </w:pPr>
      <w:r>
        <w:rPr>
          <w:rFonts w:ascii="Arial" w:hAnsi="Arial" w:cs="Arial"/>
          <w:sz w:val="20"/>
          <w:szCs w:val="20"/>
        </w:rPr>
        <w:t>‘Student-</w:t>
      </w:r>
      <w:proofErr w:type="spellStart"/>
      <w:r>
        <w:rPr>
          <w:rFonts w:ascii="Arial" w:hAnsi="Arial" w:cs="Arial"/>
          <w:sz w:val="20"/>
          <w:szCs w:val="20"/>
        </w:rPr>
        <w:t>centredness</w:t>
      </w:r>
      <w:proofErr w:type="spellEnd"/>
      <w:r>
        <w:rPr>
          <w:rFonts w:ascii="Arial" w:hAnsi="Arial" w:cs="Arial"/>
          <w:sz w:val="20"/>
          <w:szCs w:val="20"/>
        </w:rPr>
        <w:t>’ – student involvement in the design, delivery and assessment of their learning</w:t>
      </w:r>
      <w:r w:rsidR="0089286C">
        <w:rPr>
          <w:rFonts w:ascii="Arial" w:hAnsi="Arial" w:cs="Arial"/>
          <w:sz w:val="20"/>
          <w:szCs w:val="20"/>
        </w:rPr>
        <w:t>.</w:t>
      </w:r>
    </w:p>
    <w:p w:rsidR="0089286C" w:rsidRDefault="0089286C" w:rsidP="0089286C">
      <w:pPr>
        <w:jc w:val="both"/>
        <w:rPr>
          <w:rFonts w:ascii="Arial" w:hAnsi="Arial" w:cs="Arial"/>
          <w:sz w:val="20"/>
          <w:szCs w:val="20"/>
        </w:rPr>
      </w:pPr>
      <w:r>
        <w:rPr>
          <w:rFonts w:ascii="Arial" w:hAnsi="Arial" w:cs="Arial"/>
          <w:sz w:val="20"/>
          <w:szCs w:val="20"/>
        </w:rPr>
        <w:t>The axis of structure and process focused on student involvement with governance, in committees and as representatives at course, department and faculty levels, and other such matters of structure and process. The axis of identity dealt with matters including:</w:t>
      </w:r>
    </w:p>
    <w:p w:rsidR="0089286C" w:rsidRDefault="0089286C" w:rsidP="0089286C">
      <w:pPr>
        <w:pStyle w:val="ListParagraph"/>
        <w:numPr>
          <w:ilvl w:val="0"/>
          <w:numId w:val="7"/>
        </w:numPr>
        <w:jc w:val="both"/>
        <w:rPr>
          <w:rFonts w:ascii="Arial" w:hAnsi="Arial" w:cs="Arial"/>
          <w:sz w:val="20"/>
          <w:szCs w:val="20"/>
        </w:rPr>
      </w:pPr>
      <w:r>
        <w:rPr>
          <w:rFonts w:ascii="Arial" w:hAnsi="Arial" w:cs="Arial"/>
          <w:sz w:val="20"/>
          <w:szCs w:val="20"/>
        </w:rPr>
        <w:t>Engagement towards student individual ‘belonging’;</w:t>
      </w:r>
    </w:p>
    <w:p w:rsidR="0089286C" w:rsidRDefault="0089286C" w:rsidP="0089286C">
      <w:pPr>
        <w:pStyle w:val="ListParagraph"/>
        <w:numPr>
          <w:ilvl w:val="0"/>
          <w:numId w:val="7"/>
        </w:numPr>
        <w:jc w:val="both"/>
        <w:rPr>
          <w:rFonts w:ascii="Arial" w:hAnsi="Arial" w:cs="Arial"/>
          <w:sz w:val="20"/>
          <w:szCs w:val="20"/>
        </w:rPr>
      </w:pPr>
      <w:r>
        <w:rPr>
          <w:rFonts w:ascii="Arial" w:hAnsi="Arial" w:cs="Arial"/>
          <w:sz w:val="20"/>
          <w:szCs w:val="20"/>
        </w:rPr>
        <w:t>Identity attached to representation;</w:t>
      </w:r>
    </w:p>
    <w:p w:rsidR="0089286C" w:rsidRPr="0089286C" w:rsidRDefault="0089286C" w:rsidP="0089286C">
      <w:pPr>
        <w:pStyle w:val="ListParagraph"/>
        <w:numPr>
          <w:ilvl w:val="0"/>
          <w:numId w:val="7"/>
        </w:numPr>
        <w:jc w:val="both"/>
        <w:rPr>
          <w:rFonts w:ascii="Arial" w:hAnsi="Arial" w:cs="Arial"/>
          <w:sz w:val="20"/>
          <w:szCs w:val="20"/>
        </w:rPr>
      </w:pPr>
      <w:r>
        <w:rPr>
          <w:rFonts w:ascii="Arial" w:hAnsi="Arial" w:cs="Arial"/>
          <w:sz w:val="20"/>
          <w:szCs w:val="20"/>
        </w:rPr>
        <w:t xml:space="preserve">Engagement of groups such as </w:t>
      </w:r>
      <w:r w:rsidR="005F7D2B">
        <w:rPr>
          <w:rFonts w:ascii="Arial" w:hAnsi="Arial" w:cs="Arial"/>
          <w:sz w:val="20"/>
          <w:szCs w:val="20"/>
        </w:rPr>
        <w:t>‘</w:t>
      </w:r>
      <w:r>
        <w:rPr>
          <w:rFonts w:ascii="Arial" w:hAnsi="Arial" w:cs="Arial"/>
          <w:sz w:val="20"/>
          <w:szCs w:val="20"/>
        </w:rPr>
        <w:t>non-traditional</w:t>
      </w:r>
      <w:r w:rsidR="005F7D2B">
        <w:rPr>
          <w:rFonts w:ascii="Arial" w:hAnsi="Arial" w:cs="Arial"/>
          <w:sz w:val="20"/>
          <w:szCs w:val="20"/>
        </w:rPr>
        <w:t>’</w:t>
      </w:r>
      <w:r>
        <w:rPr>
          <w:rFonts w:ascii="Arial" w:hAnsi="Arial" w:cs="Arial"/>
          <w:sz w:val="20"/>
          <w:szCs w:val="20"/>
        </w:rPr>
        <w:t xml:space="preserve"> students.</w:t>
      </w:r>
    </w:p>
    <w:p w:rsidR="00DB353D" w:rsidRDefault="00012019" w:rsidP="009A1E00">
      <w:pPr>
        <w:jc w:val="both"/>
        <w:rPr>
          <w:rFonts w:ascii="Arial" w:hAnsi="Arial" w:cs="Arial"/>
          <w:sz w:val="20"/>
          <w:szCs w:val="20"/>
        </w:rPr>
      </w:pPr>
      <w:r w:rsidRPr="00CC1974">
        <w:rPr>
          <w:rFonts w:ascii="Arial" w:hAnsi="Arial" w:cs="Arial"/>
          <w:sz w:val="20"/>
          <w:szCs w:val="20"/>
        </w:rPr>
        <w:t>‘Engagement’ for the pur</w:t>
      </w:r>
      <w:r w:rsidR="009F6C00">
        <w:rPr>
          <w:rFonts w:ascii="Arial" w:hAnsi="Arial" w:cs="Arial"/>
          <w:sz w:val="20"/>
          <w:szCs w:val="20"/>
        </w:rPr>
        <w:t xml:space="preserve">poses of this study followed </w:t>
      </w:r>
      <w:proofErr w:type="spellStart"/>
      <w:r w:rsidR="009F6C00">
        <w:rPr>
          <w:rFonts w:ascii="Arial" w:hAnsi="Arial" w:cs="Arial"/>
          <w:sz w:val="20"/>
          <w:szCs w:val="20"/>
        </w:rPr>
        <w:t>Trowlers</w:t>
      </w:r>
      <w:proofErr w:type="spellEnd"/>
      <w:r w:rsidR="009F6C00">
        <w:rPr>
          <w:rFonts w:ascii="Arial" w:hAnsi="Arial" w:cs="Arial"/>
          <w:sz w:val="20"/>
          <w:szCs w:val="20"/>
        </w:rPr>
        <w:t>’</w:t>
      </w:r>
      <w:r w:rsidRPr="00CC1974">
        <w:rPr>
          <w:rFonts w:ascii="Arial" w:hAnsi="Arial" w:cs="Arial"/>
          <w:sz w:val="20"/>
          <w:szCs w:val="20"/>
        </w:rPr>
        <w:t xml:space="preserve"> axis of individual student learning. In addition, ‘engagement’ was qualified and separated according to the dimensions proposed by </w:t>
      </w:r>
      <w:proofErr w:type="spellStart"/>
      <w:r w:rsidRPr="00CC1974">
        <w:rPr>
          <w:rFonts w:ascii="Arial" w:hAnsi="Arial" w:cs="Arial"/>
          <w:sz w:val="20"/>
          <w:szCs w:val="20"/>
        </w:rPr>
        <w:t>Trowler</w:t>
      </w:r>
      <w:proofErr w:type="spellEnd"/>
      <w:r w:rsidRPr="00CC1974">
        <w:rPr>
          <w:rFonts w:ascii="Arial" w:hAnsi="Arial" w:cs="Arial"/>
          <w:sz w:val="20"/>
          <w:szCs w:val="20"/>
        </w:rPr>
        <w:t xml:space="preserve"> (2010</w:t>
      </w:r>
      <w:r w:rsidR="001559DF">
        <w:rPr>
          <w:rFonts w:ascii="Arial" w:hAnsi="Arial" w:cs="Arial"/>
          <w:sz w:val="20"/>
          <w:szCs w:val="20"/>
        </w:rPr>
        <w:t>,</w:t>
      </w:r>
      <w:r w:rsidRPr="00CC1974">
        <w:rPr>
          <w:rFonts w:ascii="Arial" w:hAnsi="Arial" w:cs="Arial"/>
          <w:sz w:val="20"/>
          <w:szCs w:val="20"/>
        </w:rPr>
        <w:t xml:space="preserve">), drawing on the work of others and identified as: </w:t>
      </w:r>
    </w:p>
    <w:p w:rsidR="001559DF" w:rsidRDefault="001559DF" w:rsidP="009A1E00">
      <w:pPr>
        <w:pStyle w:val="ListParagraph"/>
        <w:numPr>
          <w:ilvl w:val="0"/>
          <w:numId w:val="8"/>
        </w:numPr>
        <w:jc w:val="both"/>
        <w:rPr>
          <w:rFonts w:ascii="Arial" w:hAnsi="Arial" w:cs="Arial"/>
          <w:sz w:val="20"/>
          <w:szCs w:val="20"/>
        </w:rPr>
      </w:pPr>
      <w:proofErr w:type="spellStart"/>
      <w:r>
        <w:rPr>
          <w:rFonts w:ascii="Arial" w:hAnsi="Arial" w:cs="Arial"/>
          <w:sz w:val="20"/>
          <w:szCs w:val="20"/>
        </w:rPr>
        <w:t>behavioural</w:t>
      </w:r>
      <w:proofErr w:type="spellEnd"/>
      <w:r>
        <w:rPr>
          <w:rFonts w:ascii="Arial" w:hAnsi="Arial" w:cs="Arial"/>
          <w:sz w:val="20"/>
          <w:szCs w:val="20"/>
        </w:rPr>
        <w:t xml:space="preserve"> engagement: students who are </w:t>
      </w:r>
      <w:proofErr w:type="spellStart"/>
      <w:r>
        <w:rPr>
          <w:rFonts w:ascii="Arial" w:hAnsi="Arial" w:cs="Arial"/>
          <w:sz w:val="20"/>
          <w:szCs w:val="20"/>
        </w:rPr>
        <w:t>behaviourally</w:t>
      </w:r>
      <w:proofErr w:type="spellEnd"/>
      <w:r>
        <w:rPr>
          <w:rFonts w:ascii="Arial" w:hAnsi="Arial" w:cs="Arial"/>
          <w:sz w:val="20"/>
          <w:szCs w:val="20"/>
        </w:rPr>
        <w:t xml:space="preserve"> engaged would typically comply with </w:t>
      </w:r>
      <w:proofErr w:type="spellStart"/>
      <w:r>
        <w:rPr>
          <w:rFonts w:ascii="Arial" w:hAnsi="Arial" w:cs="Arial"/>
          <w:sz w:val="20"/>
          <w:szCs w:val="20"/>
        </w:rPr>
        <w:t>behavioural</w:t>
      </w:r>
      <w:proofErr w:type="spellEnd"/>
      <w:r>
        <w:rPr>
          <w:rFonts w:ascii="Arial" w:hAnsi="Arial" w:cs="Arial"/>
          <w:sz w:val="20"/>
          <w:szCs w:val="20"/>
        </w:rPr>
        <w:t xml:space="preserve"> norms, such as attendance and involvement, and would demonstrate the absence of disruptive or negative </w:t>
      </w:r>
      <w:proofErr w:type="spellStart"/>
      <w:r>
        <w:rPr>
          <w:rFonts w:ascii="Arial" w:hAnsi="Arial" w:cs="Arial"/>
          <w:sz w:val="20"/>
          <w:szCs w:val="20"/>
        </w:rPr>
        <w:t>behaviour</w:t>
      </w:r>
      <w:proofErr w:type="spellEnd"/>
      <w:r>
        <w:rPr>
          <w:rFonts w:ascii="Arial" w:hAnsi="Arial" w:cs="Arial"/>
          <w:sz w:val="20"/>
          <w:szCs w:val="20"/>
        </w:rPr>
        <w:t>;</w:t>
      </w:r>
    </w:p>
    <w:p w:rsidR="001559DF" w:rsidRDefault="00012019" w:rsidP="009A1E00">
      <w:pPr>
        <w:pStyle w:val="ListParagraph"/>
        <w:numPr>
          <w:ilvl w:val="0"/>
          <w:numId w:val="8"/>
        </w:numPr>
        <w:jc w:val="both"/>
        <w:rPr>
          <w:rFonts w:ascii="Arial" w:hAnsi="Arial" w:cs="Arial"/>
          <w:sz w:val="20"/>
          <w:szCs w:val="20"/>
        </w:rPr>
      </w:pPr>
      <w:r w:rsidRPr="001559DF">
        <w:rPr>
          <w:rFonts w:ascii="Arial" w:hAnsi="Arial" w:cs="Arial"/>
          <w:sz w:val="20"/>
          <w:szCs w:val="20"/>
        </w:rPr>
        <w:t>affective engagement</w:t>
      </w:r>
      <w:r w:rsidR="001559DF">
        <w:rPr>
          <w:rFonts w:ascii="Arial" w:hAnsi="Arial" w:cs="Arial"/>
          <w:sz w:val="20"/>
          <w:szCs w:val="20"/>
        </w:rPr>
        <w:t>:</w:t>
      </w:r>
      <w:r w:rsidRPr="001559DF">
        <w:rPr>
          <w:rFonts w:ascii="Arial" w:hAnsi="Arial" w:cs="Arial"/>
          <w:sz w:val="20"/>
          <w:szCs w:val="20"/>
        </w:rPr>
        <w:t xml:space="preserve"> </w:t>
      </w:r>
      <w:r w:rsidR="001559DF">
        <w:rPr>
          <w:rFonts w:ascii="Arial" w:hAnsi="Arial" w:cs="Arial"/>
          <w:sz w:val="20"/>
          <w:szCs w:val="20"/>
        </w:rPr>
        <w:t xml:space="preserve">students who engage emotionally would experience affective reactions such as interest, enjoyment, or a sense of belonging; </w:t>
      </w:r>
      <w:r w:rsidRPr="001559DF">
        <w:rPr>
          <w:rFonts w:ascii="Arial" w:hAnsi="Arial" w:cs="Arial"/>
          <w:sz w:val="20"/>
          <w:szCs w:val="20"/>
        </w:rPr>
        <w:t>and</w:t>
      </w:r>
    </w:p>
    <w:p w:rsidR="00012019" w:rsidRDefault="00012019" w:rsidP="009A1E00">
      <w:pPr>
        <w:pStyle w:val="ListParagraph"/>
        <w:numPr>
          <w:ilvl w:val="0"/>
          <w:numId w:val="8"/>
        </w:numPr>
        <w:jc w:val="both"/>
        <w:rPr>
          <w:rFonts w:ascii="Arial" w:hAnsi="Arial" w:cs="Arial"/>
          <w:sz w:val="20"/>
          <w:szCs w:val="20"/>
        </w:rPr>
      </w:pPr>
      <w:proofErr w:type="gramStart"/>
      <w:r w:rsidRPr="001559DF">
        <w:rPr>
          <w:rFonts w:ascii="Arial" w:hAnsi="Arial" w:cs="Arial"/>
          <w:sz w:val="20"/>
          <w:szCs w:val="20"/>
        </w:rPr>
        <w:t>cognitive</w:t>
      </w:r>
      <w:proofErr w:type="gramEnd"/>
      <w:r w:rsidRPr="001559DF">
        <w:rPr>
          <w:rFonts w:ascii="Arial" w:hAnsi="Arial" w:cs="Arial"/>
          <w:sz w:val="20"/>
          <w:szCs w:val="20"/>
        </w:rPr>
        <w:t xml:space="preserve"> engagement</w:t>
      </w:r>
      <w:r w:rsidR="001559DF">
        <w:rPr>
          <w:rFonts w:ascii="Arial" w:hAnsi="Arial" w:cs="Arial"/>
          <w:sz w:val="20"/>
          <w:szCs w:val="20"/>
        </w:rPr>
        <w:t>: cognitively engaged students would be invested in their learning, would seek to go beyond the requirements, and would relish the challenge. (</w:t>
      </w:r>
      <w:proofErr w:type="spellStart"/>
      <w:r w:rsidR="001559DF">
        <w:rPr>
          <w:rFonts w:ascii="Arial" w:hAnsi="Arial" w:cs="Arial"/>
          <w:sz w:val="20"/>
          <w:szCs w:val="20"/>
        </w:rPr>
        <w:t>Trowler</w:t>
      </w:r>
      <w:proofErr w:type="spellEnd"/>
      <w:r w:rsidR="001559DF">
        <w:rPr>
          <w:rFonts w:ascii="Arial" w:hAnsi="Arial" w:cs="Arial"/>
          <w:sz w:val="20"/>
          <w:szCs w:val="20"/>
        </w:rPr>
        <w:t>, 2010, P7).</w:t>
      </w:r>
    </w:p>
    <w:p w:rsidR="00012019" w:rsidRDefault="001559DF" w:rsidP="009A1E00">
      <w:pPr>
        <w:jc w:val="both"/>
        <w:rPr>
          <w:rFonts w:ascii="Arial" w:hAnsi="Arial" w:cs="Arial"/>
          <w:sz w:val="20"/>
          <w:szCs w:val="20"/>
        </w:rPr>
      </w:pPr>
      <w:r>
        <w:rPr>
          <w:rFonts w:ascii="Arial" w:hAnsi="Arial" w:cs="Arial"/>
          <w:sz w:val="20"/>
          <w:szCs w:val="20"/>
        </w:rPr>
        <w:t xml:space="preserve">The study also drew on these three </w:t>
      </w:r>
      <w:r w:rsidR="008F1E44">
        <w:rPr>
          <w:rFonts w:ascii="Arial" w:hAnsi="Arial" w:cs="Arial"/>
          <w:sz w:val="20"/>
          <w:szCs w:val="20"/>
        </w:rPr>
        <w:t>dimensions</w:t>
      </w:r>
      <w:r>
        <w:rPr>
          <w:rFonts w:ascii="Arial" w:hAnsi="Arial" w:cs="Arial"/>
          <w:sz w:val="20"/>
          <w:szCs w:val="20"/>
        </w:rPr>
        <w:t>.</w:t>
      </w:r>
    </w:p>
    <w:p w:rsidR="00D27483" w:rsidRDefault="00DB353D" w:rsidP="009A1E00">
      <w:pPr>
        <w:jc w:val="both"/>
        <w:rPr>
          <w:rFonts w:ascii="Arial" w:hAnsi="Arial" w:cs="Arial"/>
          <w:color w:val="000000"/>
          <w:sz w:val="20"/>
          <w:szCs w:val="20"/>
        </w:rPr>
      </w:pPr>
      <w:proofErr w:type="spellStart"/>
      <w:r>
        <w:rPr>
          <w:rFonts w:ascii="Arial" w:hAnsi="Arial" w:cs="Arial"/>
          <w:sz w:val="20"/>
          <w:szCs w:val="20"/>
        </w:rPr>
        <w:t>Trowler</w:t>
      </w:r>
      <w:proofErr w:type="spellEnd"/>
      <w:r>
        <w:rPr>
          <w:rFonts w:ascii="Arial" w:hAnsi="Arial" w:cs="Arial"/>
          <w:sz w:val="20"/>
          <w:szCs w:val="20"/>
        </w:rPr>
        <w:t xml:space="preserve"> and </w:t>
      </w:r>
      <w:proofErr w:type="spellStart"/>
      <w:r>
        <w:rPr>
          <w:rFonts w:ascii="Arial" w:hAnsi="Arial" w:cs="Arial"/>
          <w:sz w:val="20"/>
          <w:szCs w:val="20"/>
        </w:rPr>
        <w:t>Trowler</w:t>
      </w:r>
      <w:proofErr w:type="spellEnd"/>
      <w:r>
        <w:rPr>
          <w:rFonts w:ascii="Arial" w:hAnsi="Arial" w:cs="Arial"/>
          <w:sz w:val="20"/>
          <w:szCs w:val="20"/>
        </w:rPr>
        <w:t xml:space="preserve"> (2010) concluded, inter alia, that a ‘</w:t>
      </w:r>
      <w:r w:rsidRPr="00DB353D">
        <w:rPr>
          <w:rFonts w:ascii="Arial" w:hAnsi="Arial" w:cs="Arial"/>
          <w:i/>
          <w:sz w:val="20"/>
          <w:szCs w:val="20"/>
        </w:rPr>
        <w:t xml:space="preserve">substantial, robust body of evidence exists to support assertion that individual student engagement in educationally purposive activities leads to more </w:t>
      </w:r>
      <w:proofErr w:type="spellStart"/>
      <w:r w:rsidRPr="00DB353D">
        <w:rPr>
          <w:rFonts w:ascii="Arial" w:hAnsi="Arial" w:cs="Arial"/>
          <w:i/>
          <w:sz w:val="20"/>
          <w:szCs w:val="20"/>
        </w:rPr>
        <w:t>favourable</w:t>
      </w:r>
      <w:proofErr w:type="spellEnd"/>
      <w:r w:rsidRPr="00DB353D">
        <w:rPr>
          <w:rFonts w:ascii="Arial" w:hAnsi="Arial" w:cs="Arial"/>
          <w:i/>
          <w:sz w:val="20"/>
          <w:szCs w:val="20"/>
        </w:rPr>
        <w:t xml:space="preserve"> educational out</w:t>
      </w:r>
      <w:r w:rsidRPr="005378A5">
        <w:rPr>
          <w:rFonts w:ascii="Arial" w:hAnsi="Arial" w:cs="Arial"/>
          <w:i/>
          <w:sz w:val="20"/>
          <w:szCs w:val="20"/>
        </w:rPr>
        <w:t>comes</w:t>
      </w:r>
      <w:r w:rsidRPr="005378A5">
        <w:rPr>
          <w:rFonts w:ascii="Arial" w:hAnsi="Arial" w:cs="Arial"/>
          <w:sz w:val="20"/>
          <w:szCs w:val="20"/>
        </w:rPr>
        <w:t>’.</w:t>
      </w:r>
      <w:r w:rsidR="005378A5" w:rsidRPr="005378A5">
        <w:rPr>
          <w:rFonts w:ascii="Arial" w:hAnsi="Arial" w:cs="Arial"/>
          <w:sz w:val="20"/>
          <w:szCs w:val="20"/>
        </w:rPr>
        <w:t xml:space="preserve"> For pragmatic support of this conclusion, the work of </w:t>
      </w:r>
      <w:proofErr w:type="spellStart"/>
      <w:r w:rsidR="005378A5" w:rsidRPr="005378A5">
        <w:rPr>
          <w:rFonts w:ascii="Arial" w:hAnsi="Arial" w:cs="Arial"/>
          <w:sz w:val="20"/>
          <w:szCs w:val="20"/>
        </w:rPr>
        <w:t>Schön</w:t>
      </w:r>
      <w:proofErr w:type="spellEnd"/>
      <w:r w:rsidR="005378A5" w:rsidRPr="005378A5">
        <w:rPr>
          <w:rFonts w:ascii="Arial" w:hAnsi="Arial" w:cs="Arial"/>
          <w:sz w:val="20"/>
          <w:szCs w:val="20"/>
        </w:rPr>
        <w:t xml:space="preserve"> (1983) </w:t>
      </w:r>
      <w:r w:rsidR="005378A5" w:rsidRPr="005378A5">
        <w:rPr>
          <w:rFonts w:ascii="Arial" w:hAnsi="Arial" w:cs="Arial"/>
          <w:sz w:val="20"/>
          <w:szCs w:val="20"/>
        </w:rPr>
        <w:lastRenderedPageBreak/>
        <w:t>relating to reflection-in-practice and reflection-on-practice</w:t>
      </w:r>
      <w:r w:rsidR="005378A5">
        <w:rPr>
          <w:rFonts w:ascii="Arial" w:hAnsi="Arial" w:cs="Arial"/>
          <w:color w:val="000000"/>
          <w:sz w:val="20"/>
          <w:szCs w:val="20"/>
        </w:rPr>
        <w:t xml:space="preserve"> </w:t>
      </w:r>
      <w:r w:rsidR="005378A5" w:rsidRPr="005378A5">
        <w:rPr>
          <w:rFonts w:ascii="Arial" w:hAnsi="Arial" w:cs="Arial"/>
          <w:color w:val="000000"/>
          <w:sz w:val="20"/>
          <w:szCs w:val="20"/>
        </w:rPr>
        <w:t>has been significant</w:t>
      </w:r>
      <w:r w:rsidR="00BE33F2">
        <w:rPr>
          <w:rFonts w:ascii="Arial" w:hAnsi="Arial" w:cs="Arial"/>
          <w:color w:val="000000"/>
          <w:sz w:val="20"/>
          <w:szCs w:val="20"/>
        </w:rPr>
        <w:t xml:space="preserve"> because it deals with reflection and its role in professional life</w:t>
      </w:r>
      <w:r w:rsidR="005378A5">
        <w:rPr>
          <w:rFonts w:ascii="Arial" w:hAnsi="Arial" w:cs="Arial"/>
          <w:color w:val="000000"/>
          <w:sz w:val="20"/>
          <w:szCs w:val="20"/>
        </w:rPr>
        <w:t>.</w:t>
      </w:r>
      <w:r w:rsidR="00BE33F2">
        <w:rPr>
          <w:rFonts w:ascii="Arial" w:hAnsi="Arial" w:cs="Arial"/>
          <w:color w:val="000000"/>
          <w:sz w:val="20"/>
          <w:szCs w:val="20"/>
        </w:rPr>
        <w:t xml:space="preserve"> Reflection-in-practice is analogous to ‘thinking on our feet’, a necessary graduate </w:t>
      </w:r>
      <w:r w:rsidR="00BE33F2" w:rsidRPr="00E105FD">
        <w:rPr>
          <w:rFonts w:ascii="Arial" w:hAnsi="Arial" w:cs="Arial"/>
          <w:color w:val="000000"/>
          <w:sz w:val="20"/>
          <w:szCs w:val="20"/>
        </w:rPr>
        <w:t xml:space="preserve">attribute.  </w:t>
      </w:r>
      <w:r w:rsidR="00E105FD" w:rsidRPr="005378A5">
        <w:rPr>
          <w:rFonts w:ascii="Arial" w:eastAsia="Times New Roman" w:hAnsi="Arial" w:cs="Arial"/>
          <w:color w:val="000000"/>
          <w:sz w:val="20"/>
          <w:szCs w:val="20"/>
        </w:rPr>
        <w:t xml:space="preserve">It entails building </w:t>
      </w:r>
      <w:r w:rsidR="00E105FD" w:rsidRPr="00E105FD">
        <w:rPr>
          <w:rFonts w:ascii="Arial" w:eastAsia="Times New Roman" w:hAnsi="Arial" w:cs="Arial"/>
          <w:color w:val="000000"/>
          <w:sz w:val="20"/>
          <w:szCs w:val="20"/>
        </w:rPr>
        <w:t>new understandings to inform one’s</w:t>
      </w:r>
      <w:r w:rsidR="00E105FD" w:rsidRPr="005378A5">
        <w:rPr>
          <w:rFonts w:ascii="Arial" w:eastAsia="Times New Roman" w:hAnsi="Arial" w:cs="Arial"/>
          <w:color w:val="000000"/>
          <w:sz w:val="20"/>
          <w:szCs w:val="20"/>
        </w:rPr>
        <w:t xml:space="preserve"> actions in the </w:t>
      </w:r>
      <w:r w:rsidR="00E105FD" w:rsidRPr="00E105FD">
        <w:rPr>
          <w:rFonts w:ascii="Arial" w:eastAsia="Times New Roman" w:hAnsi="Arial" w:cs="Arial"/>
          <w:color w:val="000000"/>
          <w:sz w:val="20"/>
          <w:szCs w:val="20"/>
        </w:rPr>
        <w:t>new situation.</w:t>
      </w:r>
      <w:r w:rsidR="00BE33F2" w:rsidRPr="00E105FD">
        <w:rPr>
          <w:rFonts w:ascii="Arial" w:hAnsi="Arial" w:cs="Arial"/>
          <w:color w:val="000000"/>
          <w:sz w:val="20"/>
          <w:szCs w:val="20"/>
        </w:rPr>
        <w:t xml:space="preserve"> </w:t>
      </w:r>
      <w:r w:rsidR="00E105FD" w:rsidRPr="00E105FD">
        <w:rPr>
          <w:rFonts w:ascii="Arial" w:hAnsi="Arial" w:cs="Arial"/>
          <w:color w:val="000000"/>
          <w:sz w:val="20"/>
          <w:szCs w:val="20"/>
        </w:rPr>
        <w:t>R</w:t>
      </w:r>
      <w:r w:rsidR="00BE33F2" w:rsidRPr="00E105FD">
        <w:rPr>
          <w:rFonts w:ascii="Arial" w:hAnsi="Arial" w:cs="Arial"/>
          <w:color w:val="000000"/>
          <w:sz w:val="20"/>
          <w:szCs w:val="20"/>
        </w:rPr>
        <w:t>eflection-on-practice</w:t>
      </w:r>
      <w:r w:rsidR="00E105FD" w:rsidRPr="00E105FD">
        <w:rPr>
          <w:rFonts w:ascii="Arial" w:hAnsi="Arial" w:cs="Arial"/>
          <w:color w:val="000000"/>
          <w:sz w:val="20"/>
          <w:szCs w:val="20"/>
        </w:rPr>
        <w:t xml:space="preserve"> is a process that happens later. It enables us to spend time exploring why we acted as we did. These two connected processes are essential graduate attributes that connect academia with prof</w:t>
      </w:r>
      <w:r w:rsidR="009F6C00">
        <w:rPr>
          <w:rFonts w:ascii="Arial" w:hAnsi="Arial" w:cs="Arial"/>
          <w:color w:val="000000"/>
          <w:sz w:val="20"/>
          <w:szCs w:val="20"/>
        </w:rPr>
        <w:t>essional life. Reflection develops and enhances practice and acts as a catalyst for</w:t>
      </w:r>
      <w:r w:rsidR="00E105FD" w:rsidRPr="00E105FD">
        <w:rPr>
          <w:rFonts w:ascii="Arial" w:hAnsi="Arial" w:cs="Arial"/>
          <w:color w:val="000000"/>
          <w:sz w:val="20"/>
          <w:szCs w:val="20"/>
        </w:rPr>
        <w:t xml:space="preserve"> the positive con</w:t>
      </w:r>
      <w:r w:rsidR="009F6C00">
        <w:rPr>
          <w:rFonts w:ascii="Arial" w:hAnsi="Arial" w:cs="Arial"/>
          <w:color w:val="000000"/>
          <w:sz w:val="20"/>
          <w:szCs w:val="20"/>
        </w:rPr>
        <w:t>tribution of tacit knowledge thus</w:t>
      </w:r>
      <w:r w:rsidR="00E105FD" w:rsidRPr="00E105FD">
        <w:rPr>
          <w:rFonts w:ascii="Arial" w:hAnsi="Arial" w:cs="Arial"/>
          <w:color w:val="000000"/>
          <w:sz w:val="20"/>
          <w:szCs w:val="20"/>
        </w:rPr>
        <w:t xml:space="preserve"> </w:t>
      </w:r>
      <w:r w:rsidR="009F6C00">
        <w:rPr>
          <w:rFonts w:ascii="Arial" w:eastAsia="Times New Roman" w:hAnsi="Arial" w:cs="Arial"/>
          <w:sz w:val="20"/>
          <w:szCs w:val="20"/>
        </w:rPr>
        <w:t>enabling</w:t>
      </w:r>
      <w:r w:rsidR="00E105FD" w:rsidRPr="00BE33F2">
        <w:rPr>
          <w:rFonts w:ascii="Arial" w:eastAsia="Times New Roman" w:hAnsi="Arial" w:cs="Arial"/>
          <w:sz w:val="20"/>
          <w:szCs w:val="20"/>
        </w:rPr>
        <w:t xml:space="preserve"> the practitioner to develop and exten</w:t>
      </w:r>
      <w:r w:rsidR="009F6C00">
        <w:rPr>
          <w:rFonts w:ascii="Arial" w:eastAsia="Times New Roman" w:hAnsi="Arial" w:cs="Arial"/>
          <w:sz w:val="20"/>
          <w:szCs w:val="20"/>
        </w:rPr>
        <w:t>d the knowledge available to the</w:t>
      </w:r>
      <w:r w:rsidR="00E105FD" w:rsidRPr="00BE33F2">
        <w:rPr>
          <w:rFonts w:ascii="Arial" w:eastAsia="Times New Roman" w:hAnsi="Arial" w:cs="Arial"/>
          <w:sz w:val="20"/>
          <w:szCs w:val="20"/>
        </w:rPr>
        <w:t xml:space="preserve"> profession</w:t>
      </w:r>
      <w:r w:rsidR="00E105FD" w:rsidRPr="00E105FD">
        <w:rPr>
          <w:rFonts w:ascii="Arial" w:eastAsia="Times New Roman" w:hAnsi="Arial" w:cs="Arial"/>
          <w:sz w:val="20"/>
          <w:szCs w:val="20"/>
        </w:rPr>
        <w:t xml:space="preserve">. Reflection incorporated in the </w:t>
      </w:r>
      <w:r w:rsidR="007A0D4D">
        <w:rPr>
          <w:rFonts w:ascii="Arial" w:eastAsia="Times New Roman" w:hAnsi="Arial" w:cs="Arial"/>
          <w:sz w:val="20"/>
          <w:szCs w:val="20"/>
        </w:rPr>
        <w:t xml:space="preserve">higher education </w:t>
      </w:r>
      <w:r w:rsidR="00E105FD" w:rsidRPr="00E105FD">
        <w:rPr>
          <w:rFonts w:ascii="Arial" w:eastAsia="Times New Roman" w:hAnsi="Arial" w:cs="Arial"/>
          <w:sz w:val="20"/>
          <w:szCs w:val="20"/>
        </w:rPr>
        <w:t>curriculum</w:t>
      </w:r>
      <w:r w:rsidR="009F6C00">
        <w:rPr>
          <w:rFonts w:ascii="Arial" w:hAnsi="Arial" w:cs="Arial"/>
          <w:color w:val="000000"/>
          <w:sz w:val="20"/>
          <w:szCs w:val="20"/>
        </w:rPr>
        <w:t xml:space="preserve"> should enhance learning but, critically,</w:t>
      </w:r>
      <w:r w:rsidR="00E105FD" w:rsidRPr="00E105FD">
        <w:rPr>
          <w:rFonts w:ascii="Arial" w:hAnsi="Arial" w:cs="Arial"/>
          <w:color w:val="000000"/>
          <w:sz w:val="20"/>
          <w:szCs w:val="20"/>
        </w:rPr>
        <w:t xml:space="preserve"> add to the skills and attributes of the graduate</w:t>
      </w:r>
      <w:r w:rsidR="009F6C00">
        <w:rPr>
          <w:rFonts w:ascii="Arial" w:hAnsi="Arial" w:cs="Arial"/>
          <w:color w:val="000000"/>
          <w:sz w:val="20"/>
          <w:szCs w:val="20"/>
        </w:rPr>
        <w:t xml:space="preserve"> that will enable graduates to immediately contribute to the workplace through individual problem-solving and decision-making</w:t>
      </w:r>
      <w:r w:rsidR="00E105FD" w:rsidRPr="00E105FD">
        <w:rPr>
          <w:rFonts w:ascii="Arial" w:hAnsi="Arial" w:cs="Arial"/>
          <w:color w:val="000000"/>
          <w:sz w:val="20"/>
          <w:szCs w:val="20"/>
        </w:rPr>
        <w:t>.</w:t>
      </w:r>
    </w:p>
    <w:p w:rsidR="00175857" w:rsidRPr="00EA2755" w:rsidRDefault="008F1E44" w:rsidP="00C37702">
      <w:pPr>
        <w:pStyle w:val="ListParagraph"/>
        <w:numPr>
          <w:ilvl w:val="0"/>
          <w:numId w:val="5"/>
        </w:numPr>
        <w:jc w:val="both"/>
        <w:rPr>
          <w:rFonts w:ascii="Arial" w:hAnsi="Arial" w:cs="Arial"/>
          <w:b/>
        </w:rPr>
      </w:pPr>
      <w:r w:rsidRPr="00C37702">
        <w:rPr>
          <w:rFonts w:ascii="Arial" w:hAnsi="Arial" w:cs="Arial"/>
          <w:b/>
        </w:rPr>
        <w:t>Student (</w:t>
      </w:r>
      <w:proofErr w:type="spellStart"/>
      <w:r w:rsidRPr="00C37702">
        <w:rPr>
          <w:rFonts w:ascii="Arial" w:hAnsi="Arial" w:cs="Arial"/>
          <w:b/>
        </w:rPr>
        <w:t>Dis</w:t>
      </w:r>
      <w:proofErr w:type="spellEnd"/>
      <w:r w:rsidRPr="00C37702">
        <w:rPr>
          <w:rFonts w:ascii="Arial" w:hAnsi="Arial" w:cs="Arial"/>
          <w:b/>
        </w:rPr>
        <w:t>)Engagement; the Practice</w:t>
      </w:r>
    </w:p>
    <w:p w:rsidR="00793653" w:rsidRDefault="00793653" w:rsidP="00793653">
      <w:pPr>
        <w:jc w:val="both"/>
        <w:rPr>
          <w:rFonts w:ascii="Arial" w:hAnsi="Arial" w:cs="Arial"/>
          <w:sz w:val="20"/>
          <w:szCs w:val="20"/>
        </w:rPr>
      </w:pPr>
      <w:proofErr w:type="spellStart"/>
      <w:r w:rsidRPr="00793653">
        <w:rPr>
          <w:rFonts w:ascii="Arial" w:hAnsi="Arial" w:cs="Arial"/>
          <w:sz w:val="20"/>
          <w:szCs w:val="20"/>
        </w:rPr>
        <w:t>Trowler</w:t>
      </w:r>
      <w:proofErr w:type="spellEnd"/>
      <w:r w:rsidRPr="00793653">
        <w:rPr>
          <w:rFonts w:ascii="Arial" w:hAnsi="Arial" w:cs="Arial"/>
          <w:sz w:val="20"/>
          <w:szCs w:val="20"/>
        </w:rPr>
        <w:t xml:space="preserve"> (2010</w:t>
      </w:r>
      <w:r>
        <w:rPr>
          <w:rFonts w:ascii="Arial" w:hAnsi="Arial" w:cs="Arial"/>
          <w:sz w:val="20"/>
          <w:szCs w:val="20"/>
        </w:rPr>
        <w:t>, P8</w:t>
      </w:r>
      <w:r w:rsidRPr="00793653">
        <w:rPr>
          <w:rFonts w:ascii="Arial" w:hAnsi="Arial" w:cs="Arial"/>
          <w:sz w:val="20"/>
          <w:szCs w:val="20"/>
        </w:rPr>
        <w:t>)</w:t>
      </w:r>
      <w:r>
        <w:rPr>
          <w:rFonts w:ascii="Arial" w:hAnsi="Arial" w:cs="Arial"/>
          <w:sz w:val="20"/>
          <w:szCs w:val="20"/>
        </w:rPr>
        <w:t xml:space="preserve"> illustrates examples of positive and negative poles of engagement separated by a gulf of non-engagement in a tabular format represented below.</w:t>
      </w:r>
    </w:p>
    <w:p w:rsidR="00793653" w:rsidRPr="00793653" w:rsidRDefault="00793653" w:rsidP="00793653">
      <w:pPr>
        <w:jc w:val="center"/>
        <w:rPr>
          <w:rFonts w:ascii="Arial" w:hAnsi="Arial" w:cs="Arial"/>
          <w:b/>
          <w:sz w:val="20"/>
          <w:szCs w:val="20"/>
        </w:rPr>
      </w:pPr>
      <w:r w:rsidRPr="00793653">
        <w:rPr>
          <w:rFonts w:ascii="Arial" w:hAnsi="Arial" w:cs="Arial"/>
          <w:b/>
          <w:sz w:val="20"/>
          <w:szCs w:val="20"/>
        </w:rPr>
        <w:t>Table 1: Examples of Positive and Negative Engagement.</w:t>
      </w:r>
    </w:p>
    <w:tbl>
      <w:tblPr>
        <w:tblStyle w:val="TableGrid"/>
        <w:tblW w:w="0" w:type="auto"/>
        <w:tblInd w:w="108" w:type="dxa"/>
        <w:tblLook w:val="04A0"/>
      </w:tblPr>
      <w:tblGrid>
        <w:gridCol w:w="1701"/>
        <w:gridCol w:w="2694"/>
        <w:gridCol w:w="2268"/>
        <w:gridCol w:w="2805"/>
      </w:tblGrid>
      <w:tr w:rsidR="00175857" w:rsidTr="00D93E11">
        <w:tc>
          <w:tcPr>
            <w:tcW w:w="1701" w:type="dxa"/>
          </w:tcPr>
          <w:p w:rsidR="00175857" w:rsidRPr="00175857" w:rsidRDefault="00175857" w:rsidP="008F1E44">
            <w:pPr>
              <w:jc w:val="both"/>
              <w:rPr>
                <w:rFonts w:ascii="Arial" w:hAnsi="Arial" w:cs="Arial"/>
                <w:sz w:val="20"/>
                <w:szCs w:val="20"/>
              </w:rPr>
            </w:pPr>
          </w:p>
        </w:tc>
        <w:tc>
          <w:tcPr>
            <w:tcW w:w="2694" w:type="dxa"/>
          </w:tcPr>
          <w:p w:rsidR="00175857" w:rsidRPr="00175857" w:rsidRDefault="00175857" w:rsidP="008F1E44">
            <w:pPr>
              <w:jc w:val="both"/>
              <w:rPr>
                <w:rFonts w:ascii="Arial" w:hAnsi="Arial" w:cs="Arial"/>
                <w:sz w:val="20"/>
                <w:szCs w:val="20"/>
              </w:rPr>
            </w:pPr>
            <w:r>
              <w:rPr>
                <w:rFonts w:ascii="Arial" w:hAnsi="Arial" w:cs="Arial"/>
                <w:sz w:val="20"/>
                <w:szCs w:val="20"/>
              </w:rPr>
              <w:t>POSITIVE ENGAGEMENT</w:t>
            </w:r>
          </w:p>
        </w:tc>
        <w:tc>
          <w:tcPr>
            <w:tcW w:w="2268" w:type="dxa"/>
          </w:tcPr>
          <w:p w:rsidR="00175857" w:rsidRPr="00175857" w:rsidRDefault="00175857" w:rsidP="008F1E44">
            <w:pPr>
              <w:jc w:val="both"/>
              <w:rPr>
                <w:rFonts w:ascii="Arial" w:hAnsi="Arial" w:cs="Arial"/>
                <w:sz w:val="20"/>
                <w:szCs w:val="20"/>
              </w:rPr>
            </w:pPr>
            <w:r>
              <w:rPr>
                <w:rFonts w:ascii="Arial" w:hAnsi="Arial" w:cs="Arial"/>
                <w:sz w:val="20"/>
                <w:szCs w:val="20"/>
              </w:rPr>
              <w:t>NON-ENGAGEMENT</w:t>
            </w:r>
          </w:p>
        </w:tc>
        <w:tc>
          <w:tcPr>
            <w:tcW w:w="2805" w:type="dxa"/>
          </w:tcPr>
          <w:p w:rsidR="00175857" w:rsidRPr="00175857" w:rsidRDefault="00175857" w:rsidP="008F1E44">
            <w:pPr>
              <w:jc w:val="both"/>
              <w:rPr>
                <w:rFonts w:ascii="Arial" w:hAnsi="Arial" w:cs="Arial"/>
                <w:sz w:val="20"/>
                <w:szCs w:val="20"/>
              </w:rPr>
            </w:pPr>
            <w:r>
              <w:rPr>
                <w:rFonts w:ascii="Arial" w:hAnsi="Arial" w:cs="Arial"/>
                <w:sz w:val="20"/>
                <w:szCs w:val="20"/>
              </w:rPr>
              <w:t>NEGATIVE ENGAGEMENT</w:t>
            </w:r>
          </w:p>
        </w:tc>
      </w:tr>
      <w:tr w:rsidR="00175857" w:rsidTr="00D93E11">
        <w:tc>
          <w:tcPr>
            <w:tcW w:w="1701" w:type="dxa"/>
          </w:tcPr>
          <w:p w:rsidR="00175857" w:rsidRPr="00175857" w:rsidRDefault="00175857" w:rsidP="008F1E44">
            <w:pPr>
              <w:jc w:val="both"/>
              <w:rPr>
                <w:rFonts w:ascii="Arial" w:hAnsi="Arial" w:cs="Arial"/>
                <w:sz w:val="20"/>
                <w:szCs w:val="20"/>
              </w:rPr>
            </w:pPr>
            <w:r w:rsidRPr="00175857">
              <w:rPr>
                <w:rFonts w:ascii="Arial" w:hAnsi="Arial" w:cs="Arial"/>
                <w:sz w:val="20"/>
                <w:szCs w:val="20"/>
              </w:rPr>
              <w:t>BEHAVIOURAL</w:t>
            </w:r>
          </w:p>
        </w:tc>
        <w:tc>
          <w:tcPr>
            <w:tcW w:w="2694" w:type="dxa"/>
          </w:tcPr>
          <w:p w:rsidR="00175857" w:rsidRPr="00175857" w:rsidRDefault="00175857" w:rsidP="00175857">
            <w:pPr>
              <w:rPr>
                <w:rFonts w:ascii="Arial" w:hAnsi="Arial" w:cs="Arial"/>
                <w:sz w:val="20"/>
                <w:szCs w:val="20"/>
              </w:rPr>
            </w:pPr>
            <w:r>
              <w:rPr>
                <w:rFonts w:ascii="Arial" w:hAnsi="Arial" w:cs="Arial"/>
                <w:sz w:val="20"/>
                <w:szCs w:val="20"/>
              </w:rPr>
              <w:t>Attends lectures, participates with enthusiasm</w:t>
            </w:r>
            <w:r w:rsidR="00793653">
              <w:rPr>
                <w:rFonts w:ascii="Arial" w:hAnsi="Arial" w:cs="Arial"/>
                <w:sz w:val="20"/>
                <w:szCs w:val="20"/>
              </w:rPr>
              <w:t>.</w:t>
            </w:r>
          </w:p>
        </w:tc>
        <w:tc>
          <w:tcPr>
            <w:tcW w:w="2268" w:type="dxa"/>
          </w:tcPr>
          <w:p w:rsidR="00175857" w:rsidRPr="00175857" w:rsidRDefault="00175857" w:rsidP="00175857">
            <w:pPr>
              <w:rPr>
                <w:rFonts w:ascii="Arial" w:hAnsi="Arial" w:cs="Arial"/>
                <w:sz w:val="20"/>
                <w:szCs w:val="20"/>
              </w:rPr>
            </w:pPr>
            <w:r>
              <w:rPr>
                <w:rFonts w:ascii="Arial" w:hAnsi="Arial" w:cs="Arial"/>
                <w:sz w:val="20"/>
                <w:szCs w:val="20"/>
              </w:rPr>
              <w:t>Skips lectures without excuse</w:t>
            </w:r>
            <w:r w:rsidR="00793653">
              <w:rPr>
                <w:rFonts w:ascii="Arial" w:hAnsi="Arial" w:cs="Arial"/>
                <w:sz w:val="20"/>
                <w:szCs w:val="20"/>
              </w:rPr>
              <w:t>.</w:t>
            </w:r>
          </w:p>
        </w:tc>
        <w:tc>
          <w:tcPr>
            <w:tcW w:w="2805" w:type="dxa"/>
          </w:tcPr>
          <w:p w:rsidR="00175857" w:rsidRPr="00175857" w:rsidRDefault="00175857" w:rsidP="00175857">
            <w:pPr>
              <w:rPr>
                <w:rFonts w:ascii="Arial" w:hAnsi="Arial" w:cs="Arial"/>
                <w:sz w:val="20"/>
                <w:szCs w:val="20"/>
              </w:rPr>
            </w:pPr>
            <w:r>
              <w:rPr>
                <w:rFonts w:ascii="Arial" w:hAnsi="Arial" w:cs="Arial"/>
                <w:sz w:val="20"/>
                <w:szCs w:val="20"/>
              </w:rPr>
              <w:t xml:space="preserve">Boycotts, pickets or </w:t>
            </w:r>
            <w:r w:rsidR="00793653">
              <w:rPr>
                <w:rFonts w:ascii="Arial" w:hAnsi="Arial" w:cs="Arial"/>
                <w:sz w:val="20"/>
                <w:szCs w:val="20"/>
              </w:rPr>
              <w:t xml:space="preserve">disrupts </w:t>
            </w:r>
            <w:r>
              <w:rPr>
                <w:rFonts w:ascii="Arial" w:hAnsi="Arial" w:cs="Arial"/>
                <w:sz w:val="20"/>
                <w:szCs w:val="20"/>
              </w:rPr>
              <w:t>lectures</w:t>
            </w:r>
            <w:r w:rsidR="00793653">
              <w:rPr>
                <w:rFonts w:ascii="Arial" w:hAnsi="Arial" w:cs="Arial"/>
                <w:sz w:val="20"/>
                <w:szCs w:val="20"/>
              </w:rPr>
              <w:t>.</w:t>
            </w:r>
          </w:p>
        </w:tc>
      </w:tr>
      <w:tr w:rsidR="00175857" w:rsidTr="00D93E11">
        <w:tc>
          <w:tcPr>
            <w:tcW w:w="1701" w:type="dxa"/>
          </w:tcPr>
          <w:p w:rsidR="00175857" w:rsidRPr="00175857" w:rsidRDefault="00175857" w:rsidP="008F1E44">
            <w:pPr>
              <w:jc w:val="both"/>
              <w:rPr>
                <w:rFonts w:ascii="Arial" w:hAnsi="Arial" w:cs="Arial"/>
                <w:sz w:val="20"/>
                <w:szCs w:val="20"/>
              </w:rPr>
            </w:pPr>
            <w:r w:rsidRPr="00175857">
              <w:rPr>
                <w:rFonts w:ascii="Arial" w:hAnsi="Arial" w:cs="Arial"/>
                <w:sz w:val="20"/>
                <w:szCs w:val="20"/>
              </w:rPr>
              <w:t>AFFECTIVE</w:t>
            </w:r>
          </w:p>
        </w:tc>
        <w:tc>
          <w:tcPr>
            <w:tcW w:w="2694" w:type="dxa"/>
          </w:tcPr>
          <w:p w:rsidR="00175857" w:rsidRPr="00175857" w:rsidRDefault="00175857" w:rsidP="00175857">
            <w:pPr>
              <w:rPr>
                <w:rFonts w:ascii="Arial" w:hAnsi="Arial" w:cs="Arial"/>
                <w:sz w:val="20"/>
                <w:szCs w:val="20"/>
              </w:rPr>
            </w:pPr>
            <w:r>
              <w:rPr>
                <w:rFonts w:ascii="Arial" w:hAnsi="Arial" w:cs="Arial"/>
                <w:sz w:val="20"/>
                <w:szCs w:val="20"/>
              </w:rPr>
              <w:t>Interest</w:t>
            </w:r>
          </w:p>
        </w:tc>
        <w:tc>
          <w:tcPr>
            <w:tcW w:w="2268" w:type="dxa"/>
          </w:tcPr>
          <w:p w:rsidR="00175857" w:rsidRPr="00175857" w:rsidRDefault="00175857" w:rsidP="00175857">
            <w:pPr>
              <w:rPr>
                <w:rFonts w:ascii="Arial" w:hAnsi="Arial" w:cs="Arial"/>
                <w:sz w:val="20"/>
                <w:szCs w:val="20"/>
              </w:rPr>
            </w:pPr>
            <w:r>
              <w:rPr>
                <w:rFonts w:ascii="Arial" w:hAnsi="Arial" w:cs="Arial"/>
                <w:sz w:val="20"/>
                <w:szCs w:val="20"/>
              </w:rPr>
              <w:t>Boredom</w:t>
            </w:r>
          </w:p>
        </w:tc>
        <w:tc>
          <w:tcPr>
            <w:tcW w:w="2805" w:type="dxa"/>
          </w:tcPr>
          <w:p w:rsidR="00175857" w:rsidRPr="00175857" w:rsidRDefault="00793653" w:rsidP="00175857">
            <w:pPr>
              <w:rPr>
                <w:rFonts w:ascii="Arial" w:hAnsi="Arial" w:cs="Arial"/>
                <w:sz w:val="20"/>
                <w:szCs w:val="20"/>
              </w:rPr>
            </w:pPr>
            <w:r>
              <w:rPr>
                <w:rFonts w:ascii="Arial" w:hAnsi="Arial" w:cs="Arial"/>
                <w:sz w:val="20"/>
                <w:szCs w:val="20"/>
              </w:rPr>
              <w:t>Rejection</w:t>
            </w:r>
          </w:p>
        </w:tc>
      </w:tr>
      <w:tr w:rsidR="00175857" w:rsidTr="00D93E11">
        <w:tc>
          <w:tcPr>
            <w:tcW w:w="1701" w:type="dxa"/>
          </w:tcPr>
          <w:p w:rsidR="00175857" w:rsidRPr="00175857" w:rsidRDefault="00175857" w:rsidP="008F1E44">
            <w:pPr>
              <w:jc w:val="both"/>
              <w:rPr>
                <w:rFonts w:ascii="Arial" w:hAnsi="Arial" w:cs="Arial"/>
                <w:sz w:val="20"/>
                <w:szCs w:val="20"/>
              </w:rPr>
            </w:pPr>
            <w:r w:rsidRPr="00175857">
              <w:rPr>
                <w:rFonts w:ascii="Arial" w:hAnsi="Arial" w:cs="Arial"/>
                <w:sz w:val="20"/>
                <w:szCs w:val="20"/>
              </w:rPr>
              <w:t>COGNITIVE</w:t>
            </w:r>
          </w:p>
        </w:tc>
        <w:tc>
          <w:tcPr>
            <w:tcW w:w="2694" w:type="dxa"/>
          </w:tcPr>
          <w:p w:rsidR="00175857" w:rsidRPr="00175857" w:rsidRDefault="00175857" w:rsidP="00175857">
            <w:pPr>
              <w:rPr>
                <w:rFonts w:ascii="Arial" w:hAnsi="Arial" w:cs="Arial"/>
                <w:sz w:val="20"/>
                <w:szCs w:val="20"/>
              </w:rPr>
            </w:pPr>
            <w:r>
              <w:rPr>
                <w:rFonts w:ascii="Arial" w:hAnsi="Arial" w:cs="Arial"/>
                <w:sz w:val="20"/>
                <w:szCs w:val="20"/>
              </w:rPr>
              <w:t>Meets or exceeds assignment requirements</w:t>
            </w:r>
            <w:r w:rsidR="00793653">
              <w:rPr>
                <w:rFonts w:ascii="Arial" w:hAnsi="Arial" w:cs="Arial"/>
                <w:sz w:val="20"/>
                <w:szCs w:val="20"/>
              </w:rPr>
              <w:t>.</w:t>
            </w:r>
          </w:p>
        </w:tc>
        <w:tc>
          <w:tcPr>
            <w:tcW w:w="2268" w:type="dxa"/>
          </w:tcPr>
          <w:p w:rsidR="00175857" w:rsidRPr="00175857" w:rsidRDefault="00175857" w:rsidP="00175857">
            <w:pPr>
              <w:rPr>
                <w:rFonts w:ascii="Arial" w:hAnsi="Arial" w:cs="Arial"/>
                <w:sz w:val="20"/>
                <w:szCs w:val="20"/>
              </w:rPr>
            </w:pPr>
            <w:r>
              <w:rPr>
                <w:rFonts w:ascii="Arial" w:hAnsi="Arial" w:cs="Arial"/>
                <w:sz w:val="20"/>
                <w:szCs w:val="20"/>
              </w:rPr>
              <w:t>Assignments late, rushed or absent</w:t>
            </w:r>
            <w:r w:rsidR="00793653">
              <w:rPr>
                <w:rFonts w:ascii="Arial" w:hAnsi="Arial" w:cs="Arial"/>
                <w:sz w:val="20"/>
                <w:szCs w:val="20"/>
              </w:rPr>
              <w:t>.</w:t>
            </w:r>
          </w:p>
        </w:tc>
        <w:tc>
          <w:tcPr>
            <w:tcW w:w="2805" w:type="dxa"/>
          </w:tcPr>
          <w:p w:rsidR="00175857" w:rsidRPr="00175857" w:rsidRDefault="00793653" w:rsidP="00175857">
            <w:pPr>
              <w:rPr>
                <w:rFonts w:ascii="Arial" w:hAnsi="Arial" w:cs="Arial"/>
                <w:sz w:val="20"/>
                <w:szCs w:val="20"/>
              </w:rPr>
            </w:pPr>
            <w:r>
              <w:rPr>
                <w:rFonts w:ascii="Arial" w:hAnsi="Arial" w:cs="Arial"/>
                <w:sz w:val="20"/>
                <w:szCs w:val="20"/>
              </w:rPr>
              <w:t>Redefines parameters for assignments.</w:t>
            </w:r>
          </w:p>
        </w:tc>
      </w:tr>
    </w:tbl>
    <w:p w:rsidR="00D93E11" w:rsidRDefault="00D93E11" w:rsidP="008F1E44">
      <w:pPr>
        <w:jc w:val="both"/>
        <w:rPr>
          <w:rFonts w:ascii="Arial" w:hAnsi="Arial" w:cs="Arial"/>
          <w:sz w:val="20"/>
          <w:szCs w:val="20"/>
        </w:rPr>
      </w:pPr>
    </w:p>
    <w:p w:rsidR="00AB7B02" w:rsidRDefault="00D93E11" w:rsidP="008F1E44">
      <w:pPr>
        <w:jc w:val="both"/>
        <w:rPr>
          <w:rFonts w:ascii="Arial" w:hAnsi="Arial" w:cs="Arial"/>
          <w:sz w:val="20"/>
          <w:szCs w:val="20"/>
        </w:rPr>
      </w:pPr>
      <w:r>
        <w:rPr>
          <w:rFonts w:ascii="Arial" w:hAnsi="Arial" w:cs="Arial"/>
          <w:sz w:val="20"/>
          <w:szCs w:val="20"/>
        </w:rPr>
        <w:t xml:space="preserve">Academic discourse, both formal and informal and within and amongst institutions suggest that there is disengagement or non-engagement amongst a significant number of undergraduate students. </w:t>
      </w:r>
      <w:r w:rsidR="00862FCD">
        <w:rPr>
          <w:rFonts w:ascii="Arial" w:hAnsi="Arial" w:cs="Arial"/>
          <w:sz w:val="20"/>
          <w:szCs w:val="20"/>
        </w:rPr>
        <w:t xml:space="preserve">The issue does not, anecdotally, apply to postgraduate students. </w:t>
      </w:r>
      <w:r w:rsidRPr="00D93E11">
        <w:rPr>
          <w:rFonts w:ascii="Arial" w:hAnsi="Arial" w:cs="Arial"/>
          <w:sz w:val="20"/>
          <w:szCs w:val="20"/>
        </w:rPr>
        <w:t>There are indicators</w:t>
      </w:r>
      <w:r>
        <w:rPr>
          <w:rFonts w:ascii="Arial" w:hAnsi="Arial" w:cs="Arial"/>
          <w:sz w:val="20"/>
          <w:szCs w:val="20"/>
        </w:rPr>
        <w:t xml:space="preserve"> that accord with the tenets of table 1 that evidence this suggestion. </w:t>
      </w:r>
      <w:r w:rsidR="00C9035E">
        <w:rPr>
          <w:rFonts w:ascii="Arial" w:hAnsi="Arial" w:cs="Arial"/>
          <w:sz w:val="20"/>
          <w:szCs w:val="20"/>
        </w:rPr>
        <w:t xml:space="preserve">Attendance records for 60 year 1 students, 150 year 2 students and 85 final year undergraduate students on selected modules and courses in the built environment discipline were </w:t>
      </w:r>
      <w:proofErr w:type="spellStart"/>
      <w:r w:rsidR="00C9035E">
        <w:rPr>
          <w:rFonts w:ascii="Arial" w:hAnsi="Arial" w:cs="Arial"/>
          <w:sz w:val="20"/>
          <w:szCs w:val="20"/>
        </w:rPr>
        <w:t>analysed</w:t>
      </w:r>
      <w:proofErr w:type="spellEnd"/>
      <w:r w:rsidR="00C9035E">
        <w:rPr>
          <w:rFonts w:ascii="Arial" w:hAnsi="Arial" w:cs="Arial"/>
          <w:sz w:val="20"/>
          <w:szCs w:val="20"/>
        </w:rPr>
        <w:t xml:space="preserve">. The evidence corroborated much of what was posited in the academic discourse. </w:t>
      </w:r>
      <w:r w:rsidR="00AB7B02">
        <w:rPr>
          <w:rFonts w:ascii="Arial" w:hAnsi="Arial" w:cs="Arial"/>
          <w:sz w:val="20"/>
          <w:szCs w:val="20"/>
        </w:rPr>
        <w:t xml:space="preserve">There is a clear difference in engagement practice by final year students and those in first and second year. Attendance at, and participation in, lectures and other classes and learning activities is substantially better in final year, The final year students demonstrate interest and a willingness for dialogue, questions and study. </w:t>
      </w:r>
      <w:r w:rsidR="00C9035E">
        <w:rPr>
          <w:rFonts w:ascii="Arial" w:hAnsi="Arial" w:cs="Arial"/>
          <w:sz w:val="20"/>
          <w:szCs w:val="20"/>
        </w:rPr>
        <w:t>Whilst in all years the trend is that almost all assignments are submitted close to or on the deadline date, a</w:t>
      </w:r>
      <w:r w:rsidR="00AB7B02">
        <w:rPr>
          <w:rFonts w:ascii="Arial" w:hAnsi="Arial" w:cs="Arial"/>
          <w:sz w:val="20"/>
          <w:szCs w:val="20"/>
        </w:rPr>
        <w:t xml:space="preserve">ssignments </w:t>
      </w:r>
      <w:r w:rsidR="00C9035E">
        <w:rPr>
          <w:rFonts w:ascii="Arial" w:hAnsi="Arial" w:cs="Arial"/>
          <w:sz w:val="20"/>
          <w:szCs w:val="20"/>
        </w:rPr>
        <w:t xml:space="preserve">submitted by final year students </w:t>
      </w:r>
      <w:r w:rsidR="00AB7B02">
        <w:rPr>
          <w:rFonts w:ascii="Arial" w:hAnsi="Arial" w:cs="Arial"/>
          <w:sz w:val="20"/>
          <w:szCs w:val="20"/>
        </w:rPr>
        <w:t xml:space="preserve">are presented in a more professional manner, better accord with the brief, and are submitted more </w:t>
      </w:r>
      <w:proofErr w:type="spellStart"/>
      <w:r w:rsidR="00AB7B02">
        <w:rPr>
          <w:rFonts w:ascii="Arial" w:hAnsi="Arial" w:cs="Arial"/>
          <w:sz w:val="20"/>
          <w:szCs w:val="20"/>
        </w:rPr>
        <w:t>timeously</w:t>
      </w:r>
      <w:proofErr w:type="spellEnd"/>
      <w:r w:rsidR="00AB7B02">
        <w:rPr>
          <w:rFonts w:ascii="Arial" w:hAnsi="Arial" w:cs="Arial"/>
          <w:sz w:val="20"/>
          <w:szCs w:val="20"/>
        </w:rPr>
        <w:t>, than those students in first and second year. This is a particularly apparent phenomenon amongst those students who have spent the penultimate year on industrial placement.</w:t>
      </w:r>
    </w:p>
    <w:p w:rsidR="00862FCD" w:rsidRDefault="007875B3" w:rsidP="008F1E44">
      <w:pPr>
        <w:jc w:val="both"/>
        <w:rPr>
          <w:rFonts w:ascii="Arial" w:hAnsi="Arial" w:cs="Arial"/>
          <w:sz w:val="20"/>
          <w:szCs w:val="20"/>
        </w:rPr>
      </w:pPr>
      <w:r>
        <w:rPr>
          <w:rFonts w:ascii="Arial" w:hAnsi="Arial" w:cs="Arial"/>
          <w:sz w:val="20"/>
          <w:szCs w:val="20"/>
        </w:rPr>
        <w:t>Attendance records demonstrated that a significant proportion of students fail to attend</w:t>
      </w:r>
      <w:r w:rsidR="00C9035E">
        <w:rPr>
          <w:rFonts w:ascii="Arial" w:hAnsi="Arial" w:cs="Arial"/>
          <w:sz w:val="20"/>
          <w:szCs w:val="20"/>
        </w:rPr>
        <w:t xml:space="preserve"> regularly.</w:t>
      </w:r>
      <w:r>
        <w:rPr>
          <w:rFonts w:ascii="Arial" w:hAnsi="Arial" w:cs="Arial"/>
          <w:sz w:val="20"/>
          <w:szCs w:val="20"/>
        </w:rPr>
        <w:t xml:space="preserve"> No modules attracted</w:t>
      </w:r>
      <w:r w:rsidR="00BA2688">
        <w:rPr>
          <w:rFonts w:ascii="Arial" w:hAnsi="Arial" w:cs="Arial"/>
          <w:sz w:val="20"/>
          <w:szCs w:val="20"/>
        </w:rPr>
        <w:t xml:space="preserve"> 100% attendance. In </w:t>
      </w:r>
      <w:r>
        <w:rPr>
          <w:rFonts w:ascii="Arial" w:hAnsi="Arial" w:cs="Arial"/>
          <w:sz w:val="20"/>
          <w:szCs w:val="20"/>
        </w:rPr>
        <w:t>one</w:t>
      </w:r>
      <w:r w:rsidR="00BA2688">
        <w:rPr>
          <w:rFonts w:ascii="Arial" w:hAnsi="Arial" w:cs="Arial"/>
          <w:sz w:val="20"/>
          <w:szCs w:val="20"/>
        </w:rPr>
        <w:t xml:space="preserve"> first year module</w:t>
      </w:r>
      <w:r>
        <w:rPr>
          <w:rFonts w:ascii="Arial" w:hAnsi="Arial" w:cs="Arial"/>
          <w:sz w:val="20"/>
          <w:szCs w:val="20"/>
        </w:rPr>
        <w:t>, attendance at small group tutorials was lower than 30%; a significant number of students did not attend the tutorials after week 1.</w:t>
      </w:r>
      <w:r w:rsidR="00C9035E">
        <w:rPr>
          <w:rFonts w:ascii="Arial" w:hAnsi="Arial" w:cs="Arial"/>
          <w:sz w:val="20"/>
          <w:szCs w:val="20"/>
        </w:rPr>
        <w:t xml:space="preserve"> It should be recognized that this represented a snapshot in time and confined to selected modules and courses and, because of this approach, these interpretations and comments are not held to be robust or </w:t>
      </w:r>
      <w:proofErr w:type="spellStart"/>
      <w:r w:rsidR="00C9035E">
        <w:rPr>
          <w:rFonts w:ascii="Arial" w:hAnsi="Arial" w:cs="Arial"/>
          <w:sz w:val="20"/>
          <w:szCs w:val="20"/>
        </w:rPr>
        <w:t>generalisable</w:t>
      </w:r>
      <w:proofErr w:type="spellEnd"/>
      <w:r w:rsidR="00C9035E">
        <w:rPr>
          <w:rFonts w:ascii="Arial" w:hAnsi="Arial" w:cs="Arial"/>
          <w:sz w:val="20"/>
          <w:szCs w:val="20"/>
        </w:rPr>
        <w:t>, but rather, indicative of an issue.</w:t>
      </w:r>
    </w:p>
    <w:p w:rsidR="00491726" w:rsidRDefault="00491726" w:rsidP="008F1E44">
      <w:pPr>
        <w:jc w:val="both"/>
        <w:rPr>
          <w:rFonts w:ascii="Arial" w:hAnsi="Arial" w:cs="Arial"/>
          <w:sz w:val="20"/>
          <w:szCs w:val="20"/>
        </w:rPr>
      </w:pPr>
      <w:r>
        <w:rPr>
          <w:rFonts w:ascii="Arial" w:hAnsi="Arial" w:cs="Arial"/>
          <w:sz w:val="20"/>
          <w:szCs w:val="20"/>
        </w:rPr>
        <w:t xml:space="preserve">Discussions with first and second year students showed quite a disparity of attitudes, beliefs and actions. At </w:t>
      </w:r>
      <w:r w:rsidR="004B7C29">
        <w:rPr>
          <w:rFonts w:ascii="Arial" w:hAnsi="Arial" w:cs="Arial"/>
          <w:sz w:val="20"/>
          <w:szCs w:val="20"/>
        </w:rPr>
        <w:t xml:space="preserve">the positive </w:t>
      </w:r>
      <w:r>
        <w:rPr>
          <w:rFonts w:ascii="Arial" w:hAnsi="Arial" w:cs="Arial"/>
          <w:sz w:val="20"/>
          <w:szCs w:val="20"/>
        </w:rPr>
        <w:t>end of the scale</w:t>
      </w:r>
      <w:r w:rsidR="004B7C29">
        <w:rPr>
          <w:rFonts w:ascii="Arial" w:hAnsi="Arial" w:cs="Arial"/>
          <w:sz w:val="20"/>
          <w:szCs w:val="20"/>
        </w:rPr>
        <w:t>,</w:t>
      </w:r>
      <w:r>
        <w:rPr>
          <w:rFonts w:ascii="Arial" w:hAnsi="Arial" w:cs="Arial"/>
          <w:sz w:val="20"/>
          <w:szCs w:val="20"/>
        </w:rPr>
        <w:t xml:space="preserve"> the students attended well, were content, had few negative comments to </w:t>
      </w:r>
      <w:r>
        <w:rPr>
          <w:rFonts w:ascii="Arial" w:hAnsi="Arial" w:cs="Arial"/>
          <w:sz w:val="20"/>
          <w:szCs w:val="20"/>
        </w:rPr>
        <w:lastRenderedPageBreak/>
        <w:t>make and, generally found few issues. Some, at this end of the scale commented that they would prefer more contact time and more challenging activities. At the other end of the scale, the word ‘boredom’ and ‘boring’ was used by many students with a recurring comment such as “I can’t see the point of…”, in reference to a subject and gave a variety of reasons for non-attendance</w:t>
      </w:r>
      <w:r w:rsidR="004B7C29">
        <w:rPr>
          <w:rFonts w:ascii="Arial" w:hAnsi="Arial" w:cs="Arial"/>
          <w:sz w:val="20"/>
          <w:szCs w:val="20"/>
        </w:rPr>
        <w:t xml:space="preserve">. </w:t>
      </w:r>
      <w:r w:rsidR="00E04A11">
        <w:rPr>
          <w:rFonts w:ascii="Arial" w:hAnsi="Arial" w:cs="Arial"/>
          <w:sz w:val="20"/>
          <w:szCs w:val="20"/>
        </w:rPr>
        <w:t>Discussions with final year students</w:t>
      </w:r>
      <w:r>
        <w:rPr>
          <w:rFonts w:ascii="Arial" w:hAnsi="Arial" w:cs="Arial"/>
          <w:sz w:val="20"/>
          <w:szCs w:val="20"/>
        </w:rPr>
        <w:t>,</w:t>
      </w:r>
      <w:r w:rsidR="00E04A11">
        <w:rPr>
          <w:rFonts w:ascii="Arial" w:hAnsi="Arial" w:cs="Arial"/>
          <w:sz w:val="20"/>
          <w:szCs w:val="20"/>
        </w:rPr>
        <w:t xml:space="preserve"> who had undertaken industrial placement</w:t>
      </w:r>
      <w:r>
        <w:rPr>
          <w:rFonts w:ascii="Arial" w:hAnsi="Arial" w:cs="Arial"/>
          <w:sz w:val="20"/>
          <w:szCs w:val="20"/>
        </w:rPr>
        <w:t>, revealed</w:t>
      </w:r>
      <w:r w:rsidR="004B7C29">
        <w:rPr>
          <w:rFonts w:ascii="Arial" w:hAnsi="Arial" w:cs="Arial"/>
          <w:sz w:val="20"/>
          <w:szCs w:val="20"/>
        </w:rPr>
        <w:t xml:space="preserve"> less of a disparity of attitudes, beliefs and actions with the main body of students situated towards the positive end of the scale.</w:t>
      </w:r>
    </w:p>
    <w:p w:rsidR="0089369B" w:rsidRPr="00A568C6" w:rsidRDefault="00603822" w:rsidP="0089369B">
      <w:pPr>
        <w:jc w:val="both"/>
        <w:rPr>
          <w:rFonts w:ascii="Arial" w:hAnsi="Arial" w:cs="Arial"/>
          <w:sz w:val="20"/>
          <w:szCs w:val="20"/>
        </w:rPr>
      </w:pPr>
      <w:r>
        <w:rPr>
          <w:rFonts w:ascii="Arial" w:hAnsi="Arial" w:cs="Arial"/>
          <w:sz w:val="20"/>
          <w:szCs w:val="20"/>
        </w:rPr>
        <w:t xml:space="preserve">It was clear from the data obtained from both students and tutors that when students are ‘occupied’ and ‘doing something’ </w:t>
      </w:r>
      <w:r w:rsidR="007B5CC0">
        <w:rPr>
          <w:rFonts w:ascii="Arial" w:hAnsi="Arial" w:cs="Arial"/>
          <w:sz w:val="20"/>
          <w:szCs w:val="20"/>
        </w:rPr>
        <w:t xml:space="preserve">and ‘can see the relevance of’, </w:t>
      </w:r>
      <w:r>
        <w:rPr>
          <w:rFonts w:ascii="Arial" w:hAnsi="Arial" w:cs="Arial"/>
          <w:sz w:val="20"/>
          <w:szCs w:val="20"/>
        </w:rPr>
        <w:t xml:space="preserve">they </w:t>
      </w:r>
      <w:r w:rsidR="007B5CC0">
        <w:rPr>
          <w:rFonts w:ascii="Arial" w:hAnsi="Arial" w:cs="Arial"/>
          <w:sz w:val="20"/>
          <w:szCs w:val="20"/>
        </w:rPr>
        <w:t xml:space="preserve">demonstrate more engagement: e.g. </w:t>
      </w:r>
      <w:proofErr w:type="spellStart"/>
      <w:r w:rsidR="007B5CC0">
        <w:rPr>
          <w:rFonts w:ascii="Arial" w:hAnsi="Arial" w:cs="Arial"/>
          <w:sz w:val="20"/>
          <w:szCs w:val="20"/>
        </w:rPr>
        <w:t>practicals</w:t>
      </w:r>
      <w:proofErr w:type="spellEnd"/>
      <w:r w:rsidR="007B5CC0">
        <w:rPr>
          <w:rFonts w:ascii="Arial" w:hAnsi="Arial" w:cs="Arial"/>
          <w:sz w:val="20"/>
          <w:szCs w:val="20"/>
        </w:rPr>
        <w:t>, such as land surveying, laboratory work, design work</w:t>
      </w:r>
      <w:r w:rsidR="001D30EA">
        <w:rPr>
          <w:rFonts w:ascii="Arial" w:hAnsi="Arial" w:cs="Arial"/>
          <w:sz w:val="20"/>
          <w:szCs w:val="20"/>
        </w:rPr>
        <w:t>, computer aided design</w:t>
      </w:r>
      <w:r w:rsidR="007B5CC0">
        <w:rPr>
          <w:rFonts w:ascii="Arial" w:hAnsi="Arial" w:cs="Arial"/>
          <w:sz w:val="20"/>
          <w:szCs w:val="20"/>
        </w:rPr>
        <w:t xml:space="preserve"> and problem solving</w:t>
      </w:r>
      <w:r w:rsidR="004D4546">
        <w:rPr>
          <w:rFonts w:ascii="Arial" w:hAnsi="Arial" w:cs="Arial"/>
          <w:sz w:val="20"/>
          <w:szCs w:val="20"/>
        </w:rPr>
        <w:t>,</w:t>
      </w:r>
      <w:r w:rsidR="007B5CC0">
        <w:rPr>
          <w:rFonts w:ascii="Arial" w:hAnsi="Arial" w:cs="Arial"/>
          <w:sz w:val="20"/>
          <w:szCs w:val="20"/>
        </w:rPr>
        <w:t xml:space="preserve"> with a practical outcome</w:t>
      </w:r>
      <w:r w:rsidR="004D4546">
        <w:rPr>
          <w:rFonts w:ascii="Arial" w:hAnsi="Arial" w:cs="Arial"/>
          <w:sz w:val="20"/>
          <w:szCs w:val="20"/>
        </w:rPr>
        <w:t>,</w:t>
      </w:r>
      <w:r w:rsidR="007B5CC0">
        <w:rPr>
          <w:rFonts w:ascii="Arial" w:hAnsi="Arial" w:cs="Arial"/>
          <w:sz w:val="20"/>
          <w:szCs w:val="20"/>
        </w:rPr>
        <w:t xml:space="preserve"> tend to better engage students and students ‘enjoy’ such activities.</w:t>
      </w:r>
      <w:r w:rsidR="00094641">
        <w:rPr>
          <w:rFonts w:ascii="Arial" w:hAnsi="Arial" w:cs="Arial"/>
          <w:sz w:val="20"/>
          <w:szCs w:val="20"/>
        </w:rPr>
        <w:t xml:space="preserve"> </w:t>
      </w:r>
      <w:r w:rsidR="007875B3">
        <w:rPr>
          <w:rFonts w:ascii="Arial" w:hAnsi="Arial" w:cs="Arial"/>
          <w:sz w:val="20"/>
          <w:szCs w:val="20"/>
        </w:rPr>
        <w:t>Positive engagement su</w:t>
      </w:r>
      <w:r w:rsidR="00E04A11">
        <w:rPr>
          <w:rFonts w:ascii="Arial" w:hAnsi="Arial" w:cs="Arial"/>
          <w:sz w:val="20"/>
          <w:szCs w:val="20"/>
        </w:rPr>
        <w:t>b</w:t>
      </w:r>
      <w:r w:rsidR="007875B3">
        <w:rPr>
          <w:rFonts w:ascii="Arial" w:hAnsi="Arial" w:cs="Arial"/>
          <w:sz w:val="20"/>
          <w:szCs w:val="20"/>
        </w:rPr>
        <w:t>sists</w:t>
      </w:r>
      <w:r w:rsidR="00481EC9">
        <w:rPr>
          <w:rFonts w:ascii="Arial" w:hAnsi="Arial" w:cs="Arial"/>
          <w:sz w:val="20"/>
          <w:szCs w:val="20"/>
        </w:rPr>
        <w:t>.</w:t>
      </w:r>
      <w:r w:rsidR="00862FCD">
        <w:rPr>
          <w:rFonts w:ascii="Arial" w:hAnsi="Arial" w:cs="Arial"/>
          <w:sz w:val="20"/>
          <w:szCs w:val="20"/>
        </w:rPr>
        <w:t xml:space="preserve"> There are no indica</w:t>
      </w:r>
      <w:r w:rsidR="00E04A11">
        <w:rPr>
          <w:rFonts w:ascii="Arial" w:hAnsi="Arial" w:cs="Arial"/>
          <w:sz w:val="20"/>
          <w:szCs w:val="20"/>
        </w:rPr>
        <w:t xml:space="preserve">tors that </w:t>
      </w:r>
      <w:r w:rsidR="00862FCD">
        <w:rPr>
          <w:rFonts w:ascii="Arial" w:hAnsi="Arial" w:cs="Arial"/>
          <w:sz w:val="20"/>
          <w:szCs w:val="20"/>
        </w:rPr>
        <w:t>negative engagement</w:t>
      </w:r>
      <w:r w:rsidR="00E04A11">
        <w:rPr>
          <w:rFonts w:ascii="Arial" w:hAnsi="Arial" w:cs="Arial"/>
          <w:sz w:val="20"/>
          <w:szCs w:val="20"/>
        </w:rPr>
        <w:t xml:space="preserve"> is an issue</w:t>
      </w:r>
      <w:r w:rsidR="00862FCD">
        <w:rPr>
          <w:rFonts w:ascii="Arial" w:hAnsi="Arial" w:cs="Arial"/>
          <w:sz w:val="20"/>
          <w:szCs w:val="20"/>
        </w:rPr>
        <w:t>.</w:t>
      </w:r>
      <w:r w:rsidR="004B7C29">
        <w:rPr>
          <w:rFonts w:ascii="Arial" w:hAnsi="Arial" w:cs="Arial"/>
          <w:sz w:val="20"/>
          <w:szCs w:val="20"/>
        </w:rPr>
        <w:t xml:space="preserve"> Final year examination results over the last five years, however, do not indicate a worsening.</w:t>
      </w:r>
      <w:r w:rsidR="00481EC9" w:rsidRPr="00481EC9">
        <w:rPr>
          <w:rFonts w:ascii="Arial" w:hAnsi="Arial" w:cs="Arial"/>
          <w:sz w:val="20"/>
          <w:szCs w:val="20"/>
        </w:rPr>
        <w:t xml:space="preserve"> </w:t>
      </w:r>
      <w:r w:rsidR="00481EC9">
        <w:rPr>
          <w:rFonts w:ascii="Arial" w:hAnsi="Arial" w:cs="Arial"/>
          <w:sz w:val="20"/>
          <w:szCs w:val="20"/>
        </w:rPr>
        <w:t xml:space="preserve">Despite this factor, there are indicators of increasing non-engagement. The factors that contribute to this non-engagement were extracted </w:t>
      </w:r>
      <w:r w:rsidR="0046467B">
        <w:rPr>
          <w:rFonts w:ascii="Arial" w:hAnsi="Arial" w:cs="Arial"/>
          <w:sz w:val="20"/>
          <w:szCs w:val="20"/>
        </w:rPr>
        <w:t xml:space="preserve">and interpreted </w:t>
      </w:r>
      <w:r w:rsidR="00481EC9">
        <w:rPr>
          <w:rFonts w:ascii="Arial" w:hAnsi="Arial" w:cs="Arial"/>
          <w:sz w:val="20"/>
          <w:szCs w:val="20"/>
        </w:rPr>
        <w:t>from the data obtained from st</w:t>
      </w:r>
      <w:r w:rsidR="0046467B">
        <w:rPr>
          <w:rFonts w:ascii="Arial" w:hAnsi="Arial" w:cs="Arial"/>
          <w:sz w:val="20"/>
          <w:szCs w:val="20"/>
        </w:rPr>
        <w:t>udents, from</w:t>
      </w:r>
      <w:r w:rsidR="00B41AF0">
        <w:rPr>
          <w:rFonts w:ascii="Arial" w:hAnsi="Arial" w:cs="Arial"/>
          <w:sz w:val="20"/>
          <w:szCs w:val="20"/>
        </w:rPr>
        <w:t xml:space="preserve"> traits observed by</w:t>
      </w:r>
      <w:r w:rsidR="0046467B">
        <w:rPr>
          <w:rFonts w:ascii="Arial" w:hAnsi="Arial" w:cs="Arial"/>
          <w:sz w:val="20"/>
          <w:szCs w:val="20"/>
        </w:rPr>
        <w:t xml:space="preserve"> tutors and informed by </w:t>
      </w:r>
      <w:r w:rsidR="0046467B" w:rsidRPr="00A568C6">
        <w:rPr>
          <w:rFonts w:ascii="Arial" w:hAnsi="Arial" w:cs="Arial"/>
          <w:sz w:val="20"/>
          <w:szCs w:val="20"/>
        </w:rPr>
        <w:t xml:space="preserve">observant participation and </w:t>
      </w:r>
      <w:proofErr w:type="spellStart"/>
      <w:r w:rsidR="00306778" w:rsidRPr="00A568C6">
        <w:rPr>
          <w:rFonts w:ascii="Arial" w:hAnsi="Arial" w:cs="Arial"/>
          <w:sz w:val="20"/>
          <w:szCs w:val="20"/>
        </w:rPr>
        <w:t>summarised</w:t>
      </w:r>
      <w:proofErr w:type="spellEnd"/>
      <w:r w:rsidR="00306778" w:rsidRPr="00A568C6">
        <w:rPr>
          <w:rFonts w:ascii="Arial" w:hAnsi="Arial" w:cs="Arial"/>
          <w:sz w:val="20"/>
          <w:szCs w:val="20"/>
        </w:rPr>
        <w:t xml:space="preserve"> to </w:t>
      </w:r>
      <w:r w:rsidR="00481EC9" w:rsidRPr="00A568C6">
        <w:rPr>
          <w:rFonts w:ascii="Arial" w:hAnsi="Arial" w:cs="Arial"/>
          <w:sz w:val="20"/>
          <w:szCs w:val="20"/>
        </w:rPr>
        <w:t>include the following.</w:t>
      </w:r>
    </w:p>
    <w:p w:rsidR="0089369B" w:rsidRPr="00A568C6" w:rsidRDefault="00C37702" w:rsidP="0089369B">
      <w:pPr>
        <w:jc w:val="both"/>
        <w:rPr>
          <w:rFonts w:ascii="Arial" w:hAnsi="Arial" w:cs="Arial"/>
          <w:sz w:val="20"/>
          <w:szCs w:val="20"/>
        </w:rPr>
      </w:pPr>
      <w:r w:rsidRPr="00EA2755">
        <w:rPr>
          <w:rFonts w:ascii="Arial" w:hAnsi="Arial" w:cs="Arial"/>
          <w:b/>
          <w:sz w:val="20"/>
          <w:szCs w:val="20"/>
        </w:rPr>
        <w:t xml:space="preserve">4.1 </w:t>
      </w:r>
      <w:r w:rsidR="00F41B85">
        <w:rPr>
          <w:rFonts w:ascii="Arial" w:hAnsi="Arial" w:cs="Arial"/>
          <w:b/>
          <w:sz w:val="20"/>
          <w:szCs w:val="20"/>
        </w:rPr>
        <w:tab/>
      </w:r>
      <w:r w:rsidR="0089369B" w:rsidRPr="00EA2755">
        <w:rPr>
          <w:rFonts w:ascii="Arial" w:hAnsi="Arial" w:cs="Arial"/>
          <w:b/>
          <w:sz w:val="20"/>
          <w:szCs w:val="20"/>
        </w:rPr>
        <w:t>From Students</w:t>
      </w:r>
      <w:r w:rsidR="00F25962" w:rsidRPr="00A568C6">
        <w:rPr>
          <w:rFonts w:ascii="Arial" w:hAnsi="Arial" w:cs="Arial"/>
          <w:sz w:val="20"/>
          <w:szCs w:val="20"/>
        </w:rPr>
        <w:t xml:space="preserve"> – the following comments were given more emphasis by first and second year students than by final year students.</w:t>
      </w:r>
    </w:p>
    <w:p w:rsidR="00D27483" w:rsidRPr="00A568C6" w:rsidRDefault="0089369B" w:rsidP="00AD4501">
      <w:pPr>
        <w:jc w:val="both"/>
        <w:rPr>
          <w:rFonts w:ascii="Arial" w:hAnsi="Arial" w:cs="Arial"/>
          <w:sz w:val="20"/>
          <w:szCs w:val="20"/>
        </w:rPr>
      </w:pPr>
      <w:r w:rsidRPr="00A568C6">
        <w:rPr>
          <w:rFonts w:ascii="Arial" w:hAnsi="Arial" w:cs="Arial"/>
          <w:sz w:val="20"/>
          <w:szCs w:val="20"/>
        </w:rPr>
        <w:t xml:space="preserve">Timetabling – students are reluctant to attend for brief periods of time. They interpret the timetable as their structure for learning. They prefer to attend in blocks. If the timetable requires only one or two </w:t>
      </w:r>
      <w:proofErr w:type="gramStart"/>
      <w:r w:rsidRPr="00A568C6">
        <w:rPr>
          <w:rFonts w:ascii="Arial" w:hAnsi="Arial" w:cs="Arial"/>
          <w:sz w:val="20"/>
          <w:szCs w:val="20"/>
        </w:rPr>
        <w:t>hours</w:t>
      </w:r>
      <w:proofErr w:type="gramEnd"/>
      <w:r w:rsidRPr="00A568C6">
        <w:rPr>
          <w:rFonts w:ascii="Arial" w:hAnsi="Arial" w:cs="Arial"/>
          <w:sz w:val="20"/>
          <w:szCs w:val="20"/>
        </w:rPr>
        <w:t xml:space="preserve"> attendance on a day, then attendance figures drop significantly. If there is a long period of time between classes, students tend to choose which classes to attend in order to not have to ‘wait about’. Time spent at university that does not consist of timetabled classes is interpreted as ‘wasted time’</w:t>
      </w:r>
      <w:r w:rsidR="00AD4501" w:rsidRPr="00A568C6">
        <w:rPr>
          <w:rFonts w:ascii="Arial" w:hAnsi="Arial" w:cs="Arial"/>
          <w:sz w:val="20"/>
          <w:szCs w:val="20"/>
        </w:rPr>
        <w:t xml:space="preserve">; it is not regarded as </w:t>
      </w:r>
      <w:proofErr w:type="gramStart"/>
      <w:r w:rsidR="00AD4501" w:rsidRPr="00A568C6">
        <w:rPr>
          <w:rFonts w:ascii="Arial" w:hAnsi="Arial" w:cs="Arial"/>
          <w:sz w:val="20"/>
          <w:szCs w:val="20"/>
        </w:rPr>
        <w:t>an</w:t>
      </w:r>
      <w:proofErr w:type="gramEnd"/>
      <w:r w:rsidR="00AD4501" w:rsidRPr="00A568C6">
        <w:rPr>
          <w:rFonts w:ascii="Arial" w:hAnsi="Arial" w:cs="Arial"/>
          <w:sz w:val="20"/>
          <w:szCs w:val="20"/>
        </w:rPr>
        <w:t xml:space="preserve"> opportunity for structured, independent learning.</w:t>
      </w:r>
      <w:r w:rsidRPr="00A568C6">
        <w:rPr>
          <w:rFonts w:ascii="Arial" w:hAnsi="Arial" w:cs="Arial"/>
          <w:sz w:val="20"/>
          <w:szCs w:val="20"/>
        </w:rPr>
        <w:t xml:space="preserve"> </w:t>
      </w:r>
    </w:p>
    <w:p w:rsidR="00AD4501" w:rsidRPr="00A568C6" w:rsidRDefault="00AD4501" w:rsidP="00AD4501">
      <w:pPr>
        <w:jc w:val="both"/>
        <w:rPr>
          <w:rFonts w:ascii="Arial" w:hAnsi="Arial" w:cs="Arial"/>
          <w:sz w:val="20"/>
          <w:szCs w:val="20"/>
        </w:rPr>
      </w:pPr>
      <w:r w:rsidRPr="00A568C6">
        <w:rPr>
          <w:rFonts w:ascii="Arial" w:hAnsi="Arial" w:cs="Arial"/>
          <w:sz w:val="20"/>
          <w:szCs w:val="20"/>
        </w:rPr>
        <w:t>Work Commitments – the greater proportion of students has part-time jobs. Work commitments generally take priority over university commitments; excluding key commitments such as examinations.</w:t>
      </w:r>
    </w:p>
    <w:p w:rsidR="00AD4501" w:rsidRPr="00A568C6" w:rsidRDefault="00AD4501" w:rsidP="00AD4501">
      <w:pPr>
        <w:jc w:val="both"/>
        <w:rPr>
          <w:rFonts w:ascii="Arial" w:hAnsi="Arial" w:cs="Arial"/>
          <w:sz w:val="20"/>
          <w:szCs w:val="20"/>
        </w:rPr>
      </w:pPr>
      <w:r w:rsidRPr="00A568C6">
        <w:rPr>
          <w:rFonts w:ascii="Arial" w:hAnsi="Arial" w:cs="Arial"/>
          <w:sz w:val="20"/>
          <w:szCs w:val="20"/>
        </w:rPr>
        <w:t>‘Boring’ Lectures – some classes were regarded as less than valuable and summed up by the phrase ‘boring lectures</w:t>
      </w:r>
      <w:r w:rsidR="00F25962" w:rsidRPr="00A568C6">
        <w:rPr>
          <w:rFonts w:ascii="Arial" w:hAnsi="Arial" w:cs="Arial"/>
          <w:sz w:val="20"/>
          <w:szCs w:val="20"/>
        </w:rPr>
        <w:t>’</w:t>
      </w:r>
      <w:r w:rsidRPr="00A568C6">
        <w:rPr>
          <w:rFonts w:ascii="Arial" w:hAnsi="Arial" w:cs="Arial"/>
          <w:sz w:val="20"/>
          <w:szCs w:val="20"/>
        </w:rPr>
        <w:t xml:space="preserve">. Some probing revealed that common elements relating to this category consisted of: large classes; a combination of different courses in the class; </w:t>
      </w:r>
      <w:r w:rsidR="00F25962" w:rsidRPr="00A568C6">
        <w:rPr>
          <w:rFonts w:ascii="Arial" w:hAnsi="Arial" w:cs="Arial"/>
          <w:sz w:val="20"/>
          <w:szCs w:val="20"/>
        </w:rPr>
        <w:t>too long (in excess of one and a half hours); and one-way communication.</w:t>
      </w:r>
      <w:r w:rsidRPr="00A568C6">
        <w:rPr>
          <w:rFonts w:ascii="Arial" w:hAnsi="Arial" w:cs="Arial"/>
          <w:sz w:val="20"/>
          <w:szCs w:val="20"/>
        </w:rPr>
        <w:t xml:space="preserve"> </w:t>
      </w:r>
    </w:p>
    <w:p w:rsidR="00F25962" w:rsidRPr="00A568C6" w:rsidRDefault="00F25962" w:rsidP="00AD4501">
      <w:pPr>
        <w:jc w:val="both"/>
        <w:rPr>
          <w:rFonts w:ascii="Arial" w:hAnsi="Arial" w:cs="Arial"/>
          <w:sz w:val="20"/>
          <w:szCs w:val="20"/>
        </w:rPr>
      </w:pPr>
      <w:r w:rsidRPr="00A568C6">
        <w:rPr>
          <w:rFonts w:ascii="Arial" w:hAnsi="Arial" w:cs="Arial"/>
          <w:sz w:val="20"/>
          <w:szCs w:val="20"/>
        </w:rPr>
        <w:t>Lack of relevance – some students determined that some subjects were not relevant and therefore chose not to engage with that subject.</w:t>
      </w:r>
    </w:p>
    <w:p w:rsidR="00F25962" w:rsidRPr="00A568C6" w:rsidRDefault="00F25962" w:rsidP="00AD4501">
      <w:pPr>
        <w:jc w:val="both"/>
        <w:rPr>
          <w:rFonts w:ascii="Arial" w:hAnsi="Arial" w:cs="Arial"/>
          <w:color w:val="000000"/>
          <w:sz w:val="20"/>
          <w:szCs w:val="20"/>
        </w:rPr>
      </w:pPr>
      <w:r w:rsidRPr="00A568C6">
        <w:rPr>
          <w:rFonts w:ascii="Arial" w:hAnsi="Arial" w:cs="Arial"/>
          <w:sz w:val="20"/>
          <w:szCs w:val="20"/>
        </w:rPr>
        <w:t xml:space="preserve">Forty Per Cent – the aim a significant proportion of students was to ‘pass’. A pass requires a performance graded at forty per cent. The underlying issue of concern at this approach is that such an approach </w:t>
      </w:r>
      <w:r w:rsidR="00306778" w:rsidRPr="00A568C6">
        <w:rPr>
          <w:rFonts w:ascii="Arial" w:hAnsi="Arial" w:cs="Arial"/>
          <w:sz w:val="20"/>
          <w:szCs w:val="20"/>
        </w:rPr>
        <w:t xml:space="preserve">leads to surface learning as conceived by </w:t>
      </w:r>
      <w:proofErr w:type="spellStart"/>
      <w:r w:rsidR="00306778" w:rsidRPr="00A568C6">
        <w:rPr>
          <w:rFonts w:ascii="Arial" w:hAnsi="Arial" w:cs="Arial"/>
          <w:color w:val="000000"/>
          <w:sz w:val="20"/>
          <w:szCs w:val="20"/>
        </w:rPr>
        <w:t>Marton</w:t>
      </w:r>
      <w:proofErr w:type="spellEnd"/>
      <w:r w:rsidR="00306778" w:rsidRPr="00A568C6">
        <w:rPr>
          <w:rFonts w:ascii="Arial" w:hAnsi="Arial" w:cs="Arial"/>
          <w:color w:val="000000"/>
          <w:sz w:val="20"/>
          <w:szCs w:val="20"/>
        </w:rPr>
        <w:t xml:space="preserve"> and </w:t>
      </w:r>
      <w:proofErr w:type="spellStart"/>
      <w:r w:rsidR="00306778" w:rsidRPr="00A568C6">
        <w:rPr>
          <w:rFonts w:ascii="Arial" w:hAnsi="Arial" w:cs="Arial"/>
          <w:color w:val="000000"/>
          <w:sz w:val="20"/>
          <w:szCs w:val="20"/>
        </w:rPr>
        <w:t>Saljo</w:t>
      </w:r>
      <w:proofErr w:type="spellEnd"/>
      <w:r w:rsidR="00306778" w:rsidRPr="00A568C6">
        <w:rPr>
          <w:rFonts w:ascii="Arial" w:hAnsi="Arial" w:cs="Arial"/>
          <w:color w:val="000000"/>
          <w:sz w:val="20"/>
          <w:szCs w:val="20"/>
        </w:rPr>
        <w:t>, (1976, 1 &amp; 2) and developed by others.</w:t>
      </w:r>
    </w:p>
    <w:p w:rsidR="00306778" w:rsidRPr="00A568C6" w:rsidRDefault="00306778" w:rsidP="00AD4501">
      <w:pPr>
        <w:jc w:val="both"/>
        <w:rPr>
          <w:rFonts w:ascii="Arial" w:hAnsi="Arial" w:cs="Arial"/>
          <w:sz w:val="20"/>
          <w:szCs w:val="20"/>
        </w:rPr>
      </w:pPr>
      <w:r w:rsidRPr="00A568C6">
        <w:rPr>
          <w:rFonts w:ascii="Arial" w:hAnsi="Arial" w:cs="Arial"/>
          <w:color w:val="000000"/>
          <w:sz w:val="20"/>
          <w:szCs w:val="20"/>
        </w:rPr>
        <w:t xml:space="preserve">No fun – this category took on a variety of guises but the underlying matter related to not enjoying learning. Several factors contributed to ‘no fun’. Several have been included in the foregoing but other factors were: </w:t>
      </w:r>
      <w:proofErr w:type="gramStart"/>
      <w:r w:rsidRPr="00A568C6">
        <w:rPr>
          <w:rFonts w:ascii="Arial" w:hAnsi="Arial" w:cs="Arial"/>
          <w:color w:val="000000"/>
          <w:sz w:val="20"/>
          <w:szCs w:val="20"/>
        </w:rPr>
        <w:t>inactivity</w:t>
      </w:r>
      <w:r w:rsidR="000D29AD" w:rsidRPr="00A568C6">
        <w:rPr>
          <w:rFonts w:ascii="Arial" w:hAnsi="Arial" w:cs="Arial"/>
          <w:color w:val="000000"/>
          <w:sz w:val="20"/>
          <w:szCs w:val="20"/>
        </w:rPr>
        <w:t>,</w:t>
      </w:r>
      <w:proofErr w:type="gramEnd"/>
      <w:r w:rsidR="000D29AD" w:rsidRPr="00A568C6">
        <w:rPr>
          <w:rFonts w:ascii="Arial" w:hAnsi="Arial" w:cs="Arial"/>
          <w:color w:val="000000"/>
          <w:sz w:val="20"/>
          <w:szCs w:val="20"/>
        </w:rPr>
        <w:t xml:space="preserve"> </w:t>
      </w:r>
      <w:r w:rsidR="00E4220A" w:rsidRPr="00A568C6">
        <w:rPr>
          <w:rFonts w:ascii="Arial" w:hAnsi="Arial" w:cs="Arial"/>
          <w:color w:val="000000"/>
          <w:sz w:val="20"/>
          <w:szCs w:val="20"/>
        </w:rPr>
        <w:t>and</w:t>
      </w:r>
      <w:r w:rsidRPr="00A568C6">
        <w:rPr>
          <w:rFonts w:ascii="Arial" w:hAnsi="Arial" w:cs="Arial"/>
          <w:color w:val="000000"/>
          <w:sz w:val="20"/>
          <w:szCs w:val="20"/>
        </w:rPr>
        <w:t xml:space="preserve"> isolation</w:t>
      </w:r>
      <w:r w:rsidR="00E4220A" w:rsidRPr="00A568C6">
        <w:rPr>
          <w:rFonts w:ascii="Arial" w:hAnsi="Arial" w:cs="Arial"/>
          <w:color w:val="000000"/>
          <w:sz w:val="20"/>
          <w:szCs w:val="20"/>
        </w:rPr>
        <w:t xml:space="preserve"> due to lack of conversation or opportunity to ‘make friends in the process’.</w:t>
      </w:r>
    </w:p>
    <w:p w:rsidR="00F86055" w:rsidRPr="00F41B85" w:rsidRDefault="00C37702" w:rsidP="009A1E00">
      <w:pPr>
        <w:jc w:val="both"/>
        <w:rPr>
          <w:rFonts w:ascii="Arial" w:hAnsi="Arial" w:cs="Arial"/>
          <w:b/>
          <w:sz w:val="20"/>
          <w:szCs w:val="20"/>
        </w:rPr>
      </w:pPr>
      <w:r w:rsidRPr="00F41B85">
        <w:rPr>
          <w:rFonts w:ascii="Arial" w:hAnsi="Arial" w:cs="Arial"/>
          <w:b/>
          <w:sz w:val="20"/>
          <w:szCs w:val="20"/>
        </w:rPr>
        <w:t xml:space="preserve">4.2 </w:t>
      </w:r>
      <w:r w:rsidR="00F41B85">
        <w:rPr>
          <w:rFonts w:ascii="Arial" w:hAnsi="Arial" w:cs="Arial"/>
          <w:b/>
          <w:sz w:val="20"/>
          <w:szCs w:val="20"/>
        </w:rPr>
        <w:tab/>
      </w:r>
      <w:r w:rsidR="000D29AD" w:rsidRPr="00F41B85">
        <w:rPr>
          <w:rFonts w:ascii="Arial" w:hAnsi="Arial" w:cs="Arial"/>
          <w:b/>
          <w:sz w:val="20"/>
          <w:szCs w:val="20"/>
        </w:rPr>
        <w:t>From Tutors</w:t>
      </w:r>
    </w:p>
    <w:p w:rsidR="00A568C6" w:rsidRDefault="00A568C6" w:rsidP="009A1E00">
      <w:pPr>
        <w:jc w:val="both"/>
        <w:rPr>
          <w:rFonts w:ascii="Arial" w:hAnsi="Arial" w:cs="Arial"/>
          <w:sz w:val="20"/>
          <w:szCs w:val="20"/>
        </w:rPr>
      </w:pPr>
      <w:r>
        <w:rPr>
          <w:rFonts w:ascii="Arial" w:hAnsi="Arial" w:cs="Arial"/>
          <w:sz w:val="20"/>
          <w:szCs w:val="20"/>
        </w:rPr>
        <w:t xml:space="preserve">Last-minute approach – no matter what deadline is set, and/or the amount of time given to complete an assignment, there is a ‘last-minute approach’ by which students do not </w:t>
      </w:r>
      <w:proofErr w:type="spellStart"/>
      <w:r>
        <w:rPr>
          <w:rFonts w:ascii="Arial" w:hAnsi="Arial" w:cs="Arial"/>
          <w:sz w:val="20"/>
          <w:szCs w:val="20"/>
        </w:rPr>
        <w:t>programme</w:t>
      </w:r>
      <w:proofErr w:type="spellEnd"/>
      <w:r>
        <w:rPr>
          <w:rFonts w:ascii="Arial" w:hAnsi="Arial" w:cs="Arial"/>
          <w:sz w:val="20"/>
          <w:szCs w:val="20"/>
        </w:rPr>
        <w:t xml:space="preserve"> their work to give </w:t>
      </w:r>
      <w:proofErr w:type="gramStart"/>
      <w:r>
        <w:rPr>
          <w:rFonts w:ascii="Arial" w:hAnsi="Arial" w:cs="Arial"/>
          <w:sz w:val="20"/>
          <w:szCs w:val="20"/>
        </w:rPr>
        <w:lastRenderedPageBreak/>
        <w:t>sufficient</w:t>
      </w:r>
      <w:proofErr w:type="gramEnd"/>
      <w:r>
        <w:rPr>
          <w:rFonts w:ascii="Arial" w:hAnsi="Arial" w:cs="Arial"/>
          <w:sz w:val="20"/>
          <w:szCs w:val="20"/>
        </w:rPr>
        <w:t xml:space="preserve"> time to research and write up their work. “The ‘norm’ is to leave everything until close to the deadline and invariably the work is not as good as it could be and/or the deadline is not met”.</w:t>
      </w:r>
    </w:p>
    <w:p w:rsidR="00A568C6" w:rsidRDefault="00A568C6" w:rsidP="009A1E00">
      <w:pPr>
        <w:jc w:val="both"/>
        <w:rPr>
          <w:rFonts w:ascii="Arial" w:hAnsi="Arial" w:cs="Arial"/>
          <w:sz w:val="20"/>
          <w:szCs w:val="20"/>
        </w:rPr>
      </w:pPr>
      <w:r>
        <w:rPr>
          <w:rFonts w:ascii="Arial" w:hAnsi="Arial" w:cs="Arial"/>
          <w:sz w:val="20"/>
          <w:szCs w:val="20"/>
        </w:rPr>
        <w:t>Little dialogue –</w:t>
      </w:r>
      <w:r w:rsidR="00057804">
        <w:rPr>
          <w:rFonts w:ascii="Arial" w:hAnsi="Arial" w:cs="Arial"/>
          <w:sz w:val="20"/>
          <w:szCs w:val="20"/>
        </w:rPr>
        <w:t xml:space="preserve"> </w:t>
      </w:r>
      <w:r w:rsidR="00AA1E09">
        <w:rPr>
          <w:rFonts w:ascii="Arial" w:hAnsi="Arial" w:cs="Arial"/>
          <w:sz w:val="20"/>
          <w:szCs w:val="20"/>
        </w:rPr>
        <w:t>the nature and structure of many classes is not conducive to dialogue amongst students and with tutors. Practical classes such as land surveying, laboratory work and design elicit more conversation and questions that assist with learning. Small group tutorial classes are designed to help understanding through dialogue; however, there are two, related, issues associated with these classes: the first is that attendance is poor; the second is that a large proportion of those who do attend are ill-prepared or not prepared at all.</w:t>
      </w:r>
    </w:p>
    <w:p w:rsidR="00AA1E09" w:rsidRPr="000C423A" w:rsidRDefault="00AA1E09" w:rsidP="009A1E00">
      <w:pPr>
        <w:jc w:val="both"/>
        <w:rPr>
          <w:rFonts w:ascii="Arial" w:hAnsi="Arial" w:cs="Arial"/>
          <w:sz w:val="20"/>
          <w:szCs w:val="20"/>
        </w:rPr>
      </w:pPr>
      <w:r>
        <w:rPr>
          <w:rFonts w:ascii="Arial" w:hAnsi="Arial" w:cs="Arial"/>
          <w:sz w:val="20"/>
          <w:szCs w:val="20"/>
        </w:rPr>
        <w:t xml:space="preserve">Reluctance to read </w:t>
      </w:r>
      <w:r w:rsidR="00B41AF0">
        <w:rPr>
          <w:rFonts w:ascii="Arial" w:hAnsi="Arial" w:cs="Arial"/>
          <w:sz w:val="20"/>
          <w:szCs w:val="20"/>
        </w:rPr>
        <w:t>–</w:t>
      </w:r>
      <w:r>
        <w:rPr>
          <w:rFonts w:ascii="Arial" w:hAnsi="Arial" w:cs="Arial"/>
          <w:sz w:val="20"/>
          <w:szCs w:val="20"/>
        </w:rPr>
        <w:t xml:space="preserve"> </w:t>
      </w:r>
      <w:r w:rsidR="00B41AF0">
        <w:rPr>
          <w:rFonts w:ascii="Arial" w:hAnsi="Arial" w:cs="Arial"/>
          <w:sz w:val="20"/>
          <w:szCs w:val="20"/>
        </w:rPr>
        <w:t xml:space="preserve">there is a patent reluctance to read on the part of students. Whilst each student is given precise information on essential reading and recommended reading for each module studied, the evidence suggests that little reading is undertaken except that which is necessary to complete an assessment. </w:t>
      </w:r>
      <w:r w:rsidR="0082258C">
        <w:rPr>
          <w:rFonts w:ascii="Arial" w:hAnsi="Arial" w:cs="Arial"/>
          <w:sz w:val="20"/>
          <w:szCs w:val="20"/>
        </w:rPr>
        <w:t>Some s</w:t>
      </w:r>
      <w:r w:rsidR="00B41AF0">
        <w:rPr>
          <w:rFonts w:ascii="Arial" w:hAnsi="Arial" w:cs="Arial"/>
          <w:sz w:val="20"/>
          <w:szCs w:val="20"/>
        </w:rPr>
        <w:t xml:space="preserve">tudents lack the skills necessary for effective reading and for critical reading. As a result, students sometimes struggle to incorporate their reading into their written work. Students accept what is written and rarely challenge academic texts or advance their own arguments. </w:t>
      </w:r>
      <w:r w:rsidR="00305E19">
        <w:rPr>
          <w:rFonts w:ascii="Arial" w:hAnsi="Arial" w:cs="Arial"/>
          <w:sz w:val="20"/>
          <w:szCs w:val="20"/>
        </w:rPr>
        <w:t xml:space="preserve">The use of search engines, </w:t>
      </w:r>
      <w:r w:rsidR="00305E19" w:rsidRPr="000C423A">
        <w:rPr>
          <w:rFonts w:ascii="Arial" w:hAnsi="Arial" w:cs="Arial"/>
          <w:sz w:val="20"/>
          <w:szCs w:val="20"/>
        </w:rPr>
        <w:t>particularly ‘Google’ accentuates this issue and often key knowledge is ignored In preference to that which is readily and easily obtainable.</w:t>
      </w:r>
    </w:p>
    <w:p w:rsidR="00305E19" w:rsidRPr="000C423A" w:rsidRDefault="00305E19" w:rsidP="009A1E00">
      <w:pPr>
        <w:jc w:val="both"/>
        <w:rPr>
          <w:rFonts w:ascii="Arial" w:hAnsi="Arial" w:cs="Arial"/>
          <w:sz w:val="20"/>
          <w:szCs w:val="20"/>
        </w:rPr>
      </w:pPr>
      <w:r w:rsidRPr="000C423A">
        <w:rPr>
          <w:rFonts w:ascii="Arial" w:hAnsi="Arial" w:cs="Arial"/>
          <w:sz w:val="20"/>
          <w:szCs w:val="20"/>
        </w:rPr>
        <w:t>Literacy and numeracy skills – there is a concern amongst tutors for the literacy and numeracy skills with which students enter university. This is evident from report writing, essays and from assignments requiring basic calculations. Correctness and precision are key attributes of the graduate for the world of work.</w:t>
      </w:r>
    </w:p>
    <w:p w:rsidR="00305E19" w:rsidRPr="000C423A" w:rsidRDefault="00305E19" w:rsidP="009A1E00">
      <w:pPr>
        <w:jc w:val="both"/>
        <w:rPr>
          <w:rFonts w:ascii="Arial" w:hAnsi="Arial" w:cs="Arial"/>
          <w:sz w:val="20"/>
          <w:szCs w:val="20"/>
        </w:rPr>
      </w:pPr>
      <w:r w:rsidRPr="000C423A">
        <w:rPr>
          <w:rFonts w:ascii="Arial" w:hAnsi="Arial" w:cs="Arial"/>
          <w:sz w:val="20"/>
          <w:szCs w:val="20"/>
        </w:rPr>
        <w:t>“Do only that which is assessed” – learning is compromised because students tend to only do that which is assessed; “if it’s not assessed it won’t be done”. Such a culture restricts the curriculum and the learning</w:t>
      </w:r>
      <w:r w:rsidR="003865EB" w:rsidRPr="000C423A">
        <w:rPr>
          <w:rFonts w:ascii="Arial" w:hAnsi="Arial" w:cs="Arial"/>
          <w:sz w:val="20"/>
          <w:szCs w:val="20"/>
        </w:rPr>
        <w:t>,</w:t>
      </w:r>
      <w:r w:rsidRPr="000C423A">
        <w:rPr>
          <w:rFonts w:ascii="Arial" w:hAnsi="Arial" w:cs="Arial"/>
          <w:sz w:val="20"/>
          <w:szCs w:val="20"/>
        </w:rPr>
        <w:t xml:space="preserve"> driving an assessment strategy </w:t>
      </w:r>
      <w:r w:rsidR="003865EB" w:rsidRPr="000C423A">
        <w:rPr>
          <w:rFonts w:ascii="Arial" w:hAnsi="Arial" w:cs="Arial"/>
          <w:sz w:val="20"/>
          <w:szCs w:val="20"/>
        </w:rPr>
        <w:t>that is becoming increasingly focused on getting students to engage.</w:t>
      </w:r>
    </w:p>
    <w:p w:rsidR="003865EB" w:rsidRPr="000C423A" w:rsidRDefault="003865EB" w:rsidP="009A1E00">
      <w:pPr>
        <w:jc w:val="both"/>
        <w:rPr>
          <w:rFonts w:ascii="Arial" w:hAnsi="Arial" w:cs="Arial"/>
          <w:sz w:val="20"/>
          <w:szCs w:val="20"/>
        </w:rPr>
      </w:pPr>
      <w:r w:rsidRPr="000C423A">
        <w:rPr>
          <w:rFonts w:ascii="Arial" w:hAnsi="Arial" w:cs="Arial"/>
          <w:sz w:val="20"/>
          <w:szCs w:val="20"/>
        </w:rPr>
        <w:t>Virtual Learning Environments (VLEs) and Information and Communications Technology (ICT)</w:t>
      </w:r>
      <w:r w:rsidR="0082258C">
        <w:rPr>
          <w:rFonts w:ascii="Arial" w:hAnsi="Arial" w:cs="Arial"/>
          <w:sz w:val="20"/>
          <w:szCs w:val="20"/>
        </w:rPr>
        <w:t xml:space="preserve"> </w:t>
      </w:r>
      <w:r w:rsidRPr="000C423A">
        <w:rPr>
          <w:rFonts w:ascii="Arial" w:hAnsi="Arial" w:cs="Arial"/>
          <w:sz w:val="20"/>
          <w:szCs w:val="20"/>
        </w:rPr>
        <w:t>– advances in technology in recent years have provided great opportunities to supplement and/or replace some ‘traditional’ teaching, learning and assessment practices. On the one hand, such assistance is very beneficial to the processes and to the learning outcomes. On the other hand, there can be a tendency for students to download material from VLEs but not engage with it.</w:t>
      </w:r>
    </w:p>
    <w:p w:rsidR="003865EB" w:rsidRPr="000C423A" w:rsidRDefault="0082258C" w:rsidP="009A1E00">
      <w:pPr>
        <w:jc w:val="both"/>
        <w:rPr>
          <w:rFonts w:ascii="Arial" w:hAnsi="Arial" w:cs="Arial"/>
          <w:sz w:val="20"/>
          <w:szCs w:val="20"/>
        </w:rPr>
      </w:pPr>
      <w:r>
        <w:rPr>
          <w:rFonts w:ascii="Arial" w:hAnsi="Arial" w:cs="Arial"/>
          <w:sz w:val="20"/>
          <w:szCs w:val="20"/>
        </w:rPr>
        <w:t>An overall</w:t>
      </w:r>
      <w:r w:rsidR="003865EB" w:rsidRPr="000C423A">
        <w:rPr>
          <w:rFonts w:ascii="Arial" w:hAnsi="Arial" w:cs="Arial"/>
          <w:sz w:val="20"/>
          <w:szCs w:val="20"/>
        </w:rPr>
        <w:t xml:space="preserve"> summary</w:t>
      </w:r>
      <w:r>
        <w:rPr>
          <w:rFonts w:ascii="Arial" w:hAnsi="Arial" w:cs="Arial"/>
          <w:sz w:val="20"/>
          <w:szCs w:val="20"/>
        </w:rPr>
        <w:t xml:space="preserve"> observation was that</w:t>
      </w:r>
      <w:r w:rsidR="003865EB" w:rsidRPr="000C423A">
        <w:rPr>
          <w:rFonts w:ascii="Arial" w:hAnsi="Arial" w:cs="Arial"/>
          <w:sz w:val="20"/>
          <w:szCs w:val="20"/>
        </w:rPr>
        <w:t xml:space="preserve"> tutors implied that</w:t>
      </w:r>
      <w:r w:rsidR="004D4E28" w:rsidRPr="000C423A">
        <w:rPr>
          <w:rFonts w:ascii="Arial" w:hAnsi="Arial" w:cs="Arial"/>
          <w:sz w:val="20"/>
          <w:szCs w:val="20"/>
        </w:rPr>
        <w:t xml:space="preserve"> students would benefit from learning how to study at key periods of their university </w:t>
      </w:r>
      <w:proofErr w:type="spellStart"/>
      <w:r w:rsidR="004D4E28" w:rsidRPr="000C423A">
        <w:rPr>
          <w:rFonts w:ascii="Arial" w:hAnsi="Arial" w:cs="Arial"/>
          <w:sz w:val="20"/>
          <w:szCs w:val="20"/>
        </w:rPr>
        <w:t>programme</w:t>
      </w:r>
      <w:proofErr w:type="spellEnd"/>
      <w:r w:rsidR="00BA7E53" w:rsidRPr="000C423A">
        <w:rPr>
          <w:rFonts w:ascii="Arial" w:hAnsi="Arial" w:cs="Arial"/>
          <w:sz w:val="20"/>
          <w:szCs w:val="20"/>
        </w:rPr>
        <w:t xml:space="preserve"> and to incorporate into the </w:t>
      </w:r>
      <w:r>
        <w:rPr>
          <w:rFonts w:ascii="Arial" w:hAnsi="Arial" w:cs="Arial"/>
          <w:sz w:val="20"/>
          <w:szCs w:val="20"/>
        </w:rPr>
        <w:t>curriculum a mechanism for self-</w:t>
      </w:r>
      <w:r w:rsidR="00BA7E53" w:rsidRPr="000C423A">
        <w:rPr>
          <w:rFonts w:ascii="Arial" w:hAnsi="Arial" w:cs="Arial"/>
          <w:sz w:val="20"/>
          <w:szCs w:val="20"/>
        </w:rPr>
        <w:t>assessment.</w:t>
      </w:r>
    </w:p>
    <w:p w:rsidR="00CC1974" w:rsidRPr="00F41B85" w:rsidRDefault="007A0D4D" w:rsidP="00F41B85">
      <w:pPr>
        <w:pStyle w:val="ListParagraph"/>
        <w:numPr>
          <w:ilvl w:val="0"/>
          <w:numId w:val="5"/>
        </w:numPr>
        <w:jc w:val="both"/>
        <w:rPr>
          <w:rFonts w:ascii="Arial" w:hAnsi="Arial" w:cs="Arial"/>
          <w:b/>
        </w:rPr>
      </w:pPr>
      <w:r w:rsidRPr="00F41B85">
        <w:rPr>
          <w:rFonts w:ascii="Arial" w:hAnsi="Arial" w:cs="Arial"/>
          <w:b/>
        </w:rPr>
        <w:t>A Reflective Tool</w:t>
      </w:r>
    </w:p>
    <w:p w:rsidR="001D7FAA" w:rsidRDefault="007A0D4D" w:rsidP="001D7FAA">
      <w:pPr>
        <w:jc w:val="both"/>
        <w:rPr>
          <w:rFonts w:ascii="Arial" w:hAnsi="Arial" w:cs="Arial"/>
          <w:sz w:val="20"/>
          <w:szCs w:val="20"/>
        </w:rPr>
      </w:pPr>
      <w:r w:rsidRPr="000C423A">
        <w:rPr>
          <w:rFonts w:ascii="Arial" w:hAnsi="Arial" w:cs="Arial"/>
          <w:sz w:val="20"/>
          <w:szCs w:val="20"/>
        </w:rPr>
        <w:t xml:space="preserve">A reflective tool that demands and encourages students to engage in the processes of reflection-in-action and reflection-on-actions at regular intervals might impact positively on student engagement. A </w:t>
      </w:r>
      <w:r w:rsidR="00E3558B" w:rsidRPr="000C423A">
        <w:rPr>
          <w:rFonts w:ascii="Arial" w:hAnsi="Arial" w:cs="Arial"/>
          <w:sz w:val="20"/>
          <w:szCs w:val="20"/>
        </w:rPr>
        <w:t xml:space="preserve">preliminary, </w:t>
      </w:r>
      <w:r w:rsidRPr="000C423A">
        <w:rPr>
          <w:rFonts w:ascii="Arial" w:hAnsi="Arial" w:cs="Arial"/>
          <w:sz w:val="20"/>
          <w:szCs w:val="20"/>
        </w:rPr>
        <w:t xml:space="preserve">pragmatic model below is </w:t>
      </w:r>
      <w:r w:rsidR="00C61211" w:rsidRPr="000C423A">
        <w:rPr>
          <w:rFonts w:ascii="Arial" w:hAnsi="Arial" w:cs="Arial"/>
          <w:sz w:val="20"/>
          <w:szCs w:val="20"/>
        </w:rPr>
        <w:t>proposed</w:t>
      </w:r>
      <w:r w:rsidRPr="000C423A">
        <w:rPr>
          <w:rFonts w:ascii="Arial" w:hAnsi="Arial" w:cs="Arial"/>
          <w:sz w:val="20"/>
          <w:szCs w:val="20"/>
        </w:rPr>
        <w:t xml:space="preserve"> </w:t>
      </w:r>
      <w:r w:rsidR="00E3558B" w:rsidRPr="000C423A">
        <w:rPr>
          <w:rFonts w:ascii="Arial" w:hAnsi="Arial" w:cs="Arial"/>
          <w:sz w:val="20"/>
          <w:szCs w:val="20"/>
        </w:rPr>
        <w:t>as a starting point</w:t>
      </w:r>
      <w:r w:rsidR="00C61211" w:rsidRPr="000C423A">
        <w:rPr>
          <w:rFonts w:ascii="Arial" w:hAnsi="Arial" w:cs="Arial"/>
          <w:sz w:val="20"/>
          <w:szCs w:val="20"/>
        </w:rPr>
        <w:t xml:space="preserve"> </w:t>
      </w:r>
      <w:r w:rsidR="00E3558B" w:rsidRPr="000C423A">
        <w:rPr>
          <w:rFonts w:ascii="Arial" w:hAnsi="Arial" w:cs="Arial"/>
          <w:sz w:val="20"/>
          <w:szCs w:val="20"/>
        </w:rPr>
        <w:t>for</w:t>
      </w:r>
      <w:r w:rsidRPr="000C423A">
        <w:rPr>
          <w:rFonts w:ascii="Arial" w:hAnsi="Arial" w:cs="Arial"/>
          <w:sz w:val="20"/>
          <w:szCs w:val="20"/>
        </w:rPr>
        <w:t xml:space="preserve"> discussion </w:t>
      </w:r>
      <w:r w:rsidR="00C61211" w:rsidRPr="000C423A">
        <w:rPr>
          <w:rFonts w:ascii="Arial" w:hAnsi="Arial" w:cs="Arial"/>
          <w:sz w:val="20"/>
          <w:szCs w:val="20"/>
        </w:rPr>
        <w:t>at the conference.</w:t>
      </w:r>
      <w:r w:rsidRPr="000C423A">
        <w:rPr>
          <w:rFonts w:ascii="Arial" w:hAnsi="Arial" w:cs="Arial"/>
          <w:sz w:val="20"/>
          <w:szCs w:val="20"/>
        </w:rPr>
        <w:t xml:space="preserve"> </w:t>
      </w:r>
    </w:p>
    <w:p w:rsidR="00C61211" w:rsidRPr="001D7FAA" w:rsidRDefault="00C61211" w:rsidP="00C61211">
      <w:pPr>
        <w:pStyle w:val="Heading5"/>
        <w:spacing w:before="240"/>
        <w:rPr>
          <w:rFonts w:ascii="Arial" w:hAnsi="Arial" w:cs="Arial"/>
          <w:b/>
          <w:color w:val="auto"/>
          <w:sz w:val="20"/>
          <w:szCs w:val="20"/>
        </w:rPr>
      </w:pPr>
      <w:r w:rsidRPr="001D7FAA">
        <w:rPr>
          <w:rFonts w:ascii="Arial" w:hAnsi="Arial" w:cs="Arial"/>
          <w:b/>
          <w:color w:val="auto"/>
          <w:sz w:val="20"/>
          <w:szCs w:val="20"/>
        </w:rPr>
        <w:t xml:space="preserve">REFLECTIVE LOG </w:t>
      </w:r>
      <w:r w:rsidRPr="001D7FAA">
        <w:rPr>
          <w:rFonts w:ascii="Arial" w:hAnsi="Arial" w:cs="Arial"/>
          <w:b/>
          <w:color w:val="auto"/>
          <w:sz w:val="20"/>
          <w:szCs w:val="20"/>
        </w:rPr>
        <w:tab/>
      </w:r>
    </w:p>
    <w:p w:rsidR="00C61211" w:rsidRPr="000C423A" w:rsidRDefault="00C61211" w:rsidP="00C61211">
      <w:pPr>
        <w:spacing w:before="240"/>
        <w:jc w:val="both"/>
        <w:rPr>
          <w:rFonts w:ascii="Arial" w:hAnsi="Arial" w:cs="Arial"/>
          <w:b/>
          <w:bCs/>
          <w:sz w:val="20"/>
          <w:szCs w:val="20"/>
          <w:lang w:val="en-GB"/>
        </w:rPr>
      </w:pPr>
      <w:r w:rsidRPr="000C423A">
        <w:rPr>
          <w:rFonts w:ascii="Arial" w:hAnsi="Arial" w:cs="Arial"/>
          <w:sz w:val="20"/>
          <w:szCs w:val="20"/>
          <w:lang w:val="en-GB"/>
        </w:rPr>
        <w:t xml:space="preserve">You are required to maintain a weekly log, of about </w:t>
      </w:r>
      <w:r w:rsidR="000C423A" w:rsidRPr="000C423A">
        <w:rPr>
          <w:rFonts w:ascii="Arial" w:hAnsi="Arial" w:cs="Arial"/>
          <w:b/>
          <w:i/>
          <w:sz w:val="20"/>
          <w:szCs w:val="20"/>
          <w:lang w:val="en-GB"/>
        </w:rPr>
        <w:t>2</w:t>
      </w:r>
      <w:r w:rsidRPr="000C423A">
        <w:rPr>
          <w:rFonts w:ascii="Arial" w:hAnsi="Arial" w:cs="Arial"/>
          <w:b/>
          <w:i/>
          <w:sz w:val="20"/>
          <w:szCs w:val="20"/>
          <w:lang w:val="en-GB"/>
        </w:rPr>
        <w:t>00 words</w:t>
      </w:r>
      <w:r w:rsidRPr="000C423A">
        <w:rPr>
          <w:rFonts w:ascii="Arial" w:hAnsi="Arial" w:cs="Arial"/>
          <w:sz w:val="20"/>
          <w:szCs w:val="20"/>
          <w:lang w:val="en-GB"/>
        </w:rPr>
        <w:t xml:space="preserve">, which </w:t>
      </w:r>
      <w:r w:rsidRPr="000C423A">
        <w:rPr>
          <w:rFonts w:ascii="Arial" w:hAnsi="Arial" w:cs="Arial"/>
          <w:bCs/>
          <w:iCs/>
          <w:sz w:val="20"/>
          <w:szCs w:val="20"/>
          <w:lang w:val="en-GB"/>
        </w:rPr>
        <w:t>fully</w:t>
      </w:r>
      <w:r w:rsidRPr="000C423A">
        <w:rPr>
          <w:rFonts w:ascii="Arial" w:hAnsi="Arial" w:cs="Arial"/>
          <w:sz w:val="20"/>
          <w:szCs w:val="20"/>
          <w:lang w:val="en-GB"/>
        </w:rPr>
        <w:t xml:space="preserve"> records your STUDY activities, </w:t>
      </w:r>
      <w:r w:rsidRPr="000C423A">
        <w:rPr>
          <w:rFonts w:ascii="Arial" w:hAnsi="Arial" w:cs="Arial"/>
          <w:b/>
          <w:i/>
          <w:sz w:val="20"/>
          <w:szCs w:val="20"/>
          <w:lang w:val="en-GB"/>
        </w:rPr>
        <w:t>outside of</w:t>
      </w:r>
      <w:r w:rsidRPr="000C423A">
        <w:rPr>
          <w:rFonts w:ascii="Arial" w:hAnsi="Arial" w:cs="Arial"/>
          <w:sz w:val="20"/>
          <w:szCs w:val="20"/>
          <w:lang w:val="en-GB"/>
        </w:rPr>
        <w:t xml:space="preserve"> the classroom, for this module.  The log book should use the format as laid out below.</w:t>
      </w:r>
      <w:r w:rsidRPr="00121856">
        <w:rPr>
          <w:rFonts w:ascii="Arial" w:hAnsi="Arial" w:cs="Arial"/>
          <w:sz w:val="20"/>
          <w:lang w:val="en-GB"/>
        </w:rPr>
        <w:t xml:space="preserve"> Reference material used, with Harvard System referencing, discussions, web sites etc. should be </w:t>
      </w:r>
      <w:r w:rsidRPr="00121856">
        <w:rPr>
          <w:rFonts w:ascii="Arial" w:hAnsi="Arial" w:cs="Arial"/>
          <w:sz w:val="20"/>
          <w:u w:val="single"/>
          <w:lang w:val="en-GB"/>
        </w:rPr>
        <w:t>fully</w:t>
      </w:r>
      <w:r w:rsidRPr="00121856">
        <w:rPr>
          <w:rFonts w:ascii="Arial" w:hAnsi="Arial" w:cs="Arial"/>
          <w:sz w:val="20"/>
          <w:lang w:val="en-GB"/>
        </w:rPr>
        <w:t xml:space="preserve"> recorded in the activity section with a brief reflective comment on that week’s work on this module. The </w:t>
      </w:r>
      <w:r w:rsidRPr="000C423A">
        <w:rPr>
          <w:rFonts w:ascii="Arial" w:hAnsi="Arial" w:cs="Arial"/>
          <w:sz w:val="20"/>
          <w:szCs w:val="20"/>
          <w:lang w:val="en-GB"/>
        </w:rPr>
        <w:lastRenderedPageBreak/>
        <w:t xml:space="preserve">log should be available for inspection, advice and discussion during tutorials sessions </w:t>
      </w:r>
      <w:r w:rsidRPr="000C423A">
        <w:rPr>
          <w:rFonts w:ascii="Arial" w:hAnsi="Arial" w:cs="Arial"/>
          <w:b/>
          <w:i/>
          <w:sz w:val="20"/>
          <w:szCs w:val="20"/>
          <w:lang w:val="en-GB"/>
        </w:rPr>
        <w:t>each week.</w:t>
      </w:r>
      <w:r w:rsidRPr="000C423A">
        <w:rPr>
          <w:rFonts w:ascii="Arial" w:hAnsi="Arial" w:cs="Arial"/>
          <w:sz w:val="20"/>
          <w:szCs w:val="20"/>
          <w:lang w:val="en-GB"/>
        </w:rPr>
        <w:t xml:space="preserve"> You should maintain your log on a </w:t>
      </w:r>
      <w:r w:rsidRPr="000C423A">
        <w:rPr>
          <w:rFonts w:ascii="Arial" w:hAnsi="Arial" w:cs="Arial"/>
          <w:b/>
          <w:i/>
          <w:sz w:val="20"/>
          <w:szCs w:val="20"/>
          <w:lang w:val="en-GB"/>
        </w:rPr>
        <w:t>daily basis</w:t>
      </w:r>
      <w:r w:rsidRPr="000C423A">
        <w:rPr>
          <w:rFonts w:ascii="Arial" w:hAnsi="Arial" w:cs="Arial"/>
          <w:sz w:val="20"/>
          <w:szCs w:val="20"/>
          <w:lang w:val="en-GB"/>
        </w:rPr>
        <w:t xml:space="preserve"> and give careful thought to your studies associated with this module.</w:t>
      </w:r>
      <w:r w:rsidRPr="000C423A">
        <w:rPr>
          <w:rFonts w:ascii="Arial" w:hAnsi="Arial" w:cs="Arial"/>
          <w:b/>
          <w:bCs/>
          <w:sz w:val="20"/>
          <w:szCs w:val="20"/>
          <w:lang w:val="en-GB"/>
        </w:rPr>
        <w:t xml:space="preserve"> </w:t>
      </w:r>
    </w:p>
    <w:p w:rsidR="00C61211" w:rsidRPr="000C423A" w:rsidRDefault="00C61211" w:rsidP="00C61211">
      <w:pPr>
        <w:spacing w:before="240"/>
        <w:ind w:left="720" w:firstLine="720"/>
        <w:rPr>
          <w:rFonts w:ascii="Arial" w:hAnsi="Arial" w:cs="Arial"/>
          <w:b/>
          <w:sz w:val="20"/>
          <w:szCs w:val="20"/>
          <w:u w:val="single"/>
          <w:lang w:val="en-GB"/>
        </w:rPr>
      </w:pPr>
      <w:r w:rsidRPr="000C423A">
        <w:rPr>
          <w:rFonts w:ascii="Arial" w:hAnsi="Arial" w:cs="Arial"/>
          <w:b/>
          <w:sz w:val="20"/>
          <w:szCs w:val="20"/>
          <w:u w:val="single"/>
          <w:lang w:val="en-GB"/>
        </w:rPr>
        <w:t>REFLECTIVE LOG</w:t>
      </w:r>
      <w:r w:rsidRPr="000C423A">
        <w:rPr>
          <w:rFonts w:ascii="Arial" w:hAnsi="Arial" w:cs="Arial"/>
          <w:b/>
          <w:sz w:val="20"/>
          <w:szCs w:val="20"/>
          <w:u w:val="single"/>
          <w:lang w:val="en-GB"/>
        </w:rPr>
        <w:tab/>
      </w:r>
      <w:r w:rsidRPr="000C423A">
        <w:rPr>
          <w:rFonts w:ascii="Arial" w:hAnsi="Arial" w:cs="Arial"/>
          <w:b/>
          <w:sz w:val="20"/>
          <w:szCs w:val="20"/>
          <w:u w:val="single"/>
          <w:lang w:val="en-GB"/>
        </w:rPr>
        <w:tab/>
        <w:t>Week No</w:t>
      </w:r>
      <w:proofErr w:type="gramStart"/>
      <w:r w:rsidRPr="000C423A">
        <w:rPr>
          <w:rFonts w:ascii="Arial" w:hAnsi="Arial" w:cs="Arial"/>
          <w:b/>
          <w:sz w:val="20"/>
          <w:szCs w:val="20"/>
          <w:u w:val="single"/>
          <w:lang w:val="en-GB"/>
        </w:rPr>
        <w:t>:_</w:t>
      </w:r>
      <w:proofErr w:type="gramEnd"/>
      <w:r w:rsidRPr="000C423A">
        <w:rPr>
          <w:rFonts w:ascii="Arial" w:hAnsi="Arial" w:cs="Arial"/>
          <w:b/>
          <w:sz w:val="20"/>
          <w:szCs w:val="20"/>
          <w:u w:val="single"/>
          <w:lang w:val="en-GB"/>
        </w:rPr>
        <w:t xml:space="preserve">_________      </w:t>
      </w:r>
    </w:p>
    <w:p w:rsidR="00C61211" w:rsidRPr="000C423A" w:rsidRDefault="00C61211" w:rsidP="00C61211">
      <w:pPr>
        <w:spacing w:before="240"/>
        <w:jc w:val="both"/>
        <w:rPr>
          <w:rFonts w:ascii="Arial" w:hAnsi="Arial" w:cs="Arial"/>
          <w:b/>
          <w:sz w:val="20"/>
          <w:szCs w:val="20"/>
          <w:lang w:val="en-GB"/>
        </w:rPr>
      </w:pPr>
      <w:r w:rsidRPr="000C423A">
        <w:rPr>
          <w:rFonts w:ascii="Arial" w:hAnsi="Arial" w:cs="Arial"/>
          <w:b/>
          <w:sz w:val="20"/>
          <w:szCs w:val="20"/>
          <w:lang w:val="en-GB"/>
        </w:rPr>
        <w:t>ATTENDANCE: LECTURE: Yes / No</w:t>
      </w:r>
      <w:r w:rsidRPr="000C423A">
        <w:rPr>
          <w:rFonts w:ascii="Arial" w:hAnsi="Arial" w:cs="Arial"/>
          <w:b/>
          <w:sz w:val="20"/>
          <w:szCs w:val="20"/>
          <w:lang w:val="en-GB"/>
        </w:rPr>
        <w:tab/>
      </w:r>
      <w:r w:rsidRPr="000C423A">
        <w:rPr>
          <w:rFonts w:ascii="Arial" w:hAnsi="Arial" w:cs="Arial"/>
          <w:b/>
          <w:sz w:val="20"/>
          <w:szCs w:val="20"/>
          <w:lang w:val="en-GB"/>
        </w:rPr>
        <w:tab/>
      </w:r>
      <w:r w:rsidRPr="000C423A">
        <w:rPr>
          <w:rFonts w:ascii="Arial" w:hAnsi="Arial" w:cs="Arial"/>
          <w:b/>
          <w:sz w:val="20"/>
          <w:szCs w:val="20"/>
          <w:lang w:val="en-GB"/>
        </w:rPr>
        <w:tab/>
        <w:t>SEMINAR: Yes / No</w:t>
      </w:r>
      <w:r w:rsidRPr="000C423A">
        <w:rPr>
          <w:rFonts w:ascii="Arial" w:hAnsi="Arial" w:cs="Arial"/>
          <w:b/>
          <w:sz w:val="20"/>
          <w:szCs w:val="20"/>
          <w:lang w:val="en-GB"/>
        </w:rPr>
        <w:tab/>
      </w:r>
    </w:p>
    <w:p w:rsidR="00C61211" w:rsidRPr="000C423A" w:rsidRDefault="00C61211" w:rsidP="00C61211">
      <w:pPr>
        <w:spacing w:before="240"/>
        <w:jc w:val="both"/>
        <w:rPr>
          <w:rFonts w:ascii="Arial" w:hAnsi="Arial" w:cs="Arial"/>
          <w:b/>
          <w:sz w:val="20"/>
          <w:szCs w:val="20"/>
          <w:lang w:val="en-GB"/>
        </w:rPr>
      </w:pPr>
      <w:r w:rsidRPr="000C423A">
        <w:rPr>
          <w:rFonts w:ascii="Arial" w:hAnsi="Arial" w:cs="Arial"/>
          <w:b/>
          <w:sz w:val="20"/>
          <w:szCs w:val="20"/>
          <w:lang w:val="en-GB"/>
        </w:rPr>
        <w:t>TUTORIAL: Yes/No</w:t>
      </w:r>
    </w:p>
    <w:p w:rsidR="00C61211" w:rsidRPr="000C423A" w:rsidRDefault="00975AA6" w:rsidP="00C61211">
      <w:pPr>
        <w:tabs>
          <w:tab w:val="left" w:pos="-1440"/>
        </w:tabs>
        <w:spacing w:before="240"/>
        <w:jc w:val="both"/>
        <w:rPr>
          <w:rFonts w:ascii="Arial" w:hAnsi="Arial" w:cs="Arial"/>
          <w:sz w:val="20"/>
          <w:szCs w:val="20"/>
          <w:lang w:val="en-GB"/>
        </w:rPr>
      </w:pPr>
      <w:r>
        <w:rPr>
          <w:rFonts w:ascii="Arial" w:hAnsi="Arial" w:cs="Arial"/>
          <w:noProof/>
          <w:sz w:val="20"/>
          <w:szCs w:val="20"/>
        </w:rPr>
        <w:pict>
          <v:line id="_x0000_s1027" style="position:absolute;left:0;text-align:left;z-index:251656704" from="389.5pt,15.45pt" to="389.5pt,194.8pt" o:allowincell="f"/>
        </w:pict>
      </w:r>
      <w:r>
        <w:rPr>
          <w:rFonts w:ascii="Arial" w:hAnsi="Arial" w:cs="Arial"/>
          <w:noProof/>
          <w:sz w:val="20"/>
          <w:szCs w:val="20"/>
        </w:rPr>
        <w:pict>
          <v:line id="_x0000_s1026" style="position:absolute;left:0;text-align:left;z-index:251657728" from="45.75pt,12.1pt" to="45.75pt,194.8pt"/>
        </w:pict>
      </w:r>
      <w:r w:rsidR="00C61211" w:rsidRPr="000C423A">
        <w:rPr>
          <w:rFonts w:ascii="Arial" w:hAnsi="Arial" w:cs="Arial"/>
          <w:sz w:val="20"/>
          <w:szCs w:val="20"/>
          <w:lang w:val="en-GB"/>
        </w:rPr>
        <w:t>DATE</w:t>
      </w:r>
      <w:r w:rsidR="00C61211" w:rsidRPr="000C423A">
        <w:rPr>
          <w:rFonts w:ascii="Arial" w:hAnsi="Arial" w:cs="Arial"/>
          <w:sz w:val="20"/>
          <w:szCs w:val="20"/>
          <w:lang w:val="en-GB"/>
        </w:rPr>
        <w:tab/>
      </w:r>
      <w:r w:rsidR="00C61211" w:rsidRPr="000C423A">
        <w:rPr>
          <w:rFonts w:ascii="Arial" w:hAnsi="Arial" w:cs="Arial"/>
          <w:sz w:val="20"/>
          <w:szCs w:val="20"/>
          <w:lang w:val="en-GB"/>
        </w:rPr>
        <w:tab/>
      </w:r>
      <w:r w:rsidR="00C61211" w:rsidRPr="000C423A">
        <w:rPr>
          <w:rFonts w:ascii="Arial" w:hAnsi="Arial" w:cs="Arial"/>
          <w:sz w:val="20"/>
          <w:szCs w:val="20"/>
          <w:lang w:val="en-GB"/>
        </w:rPr>
        <w:tab/>
        <w:t xml:space="preserve">ACTIVITY </w:t>
      </w:r>
      <w:r w:rsidR="00C61211" w:rsidRPr="000C423A">
        <w:rPr>
          <w:rFonts w:ascii="Arial" w:hAnsi="Arial" w:cs="Arial"/>
          <w:sz w:val="20"/>
          <w:szCs w:val="20"/>
          <w:lang w:val="en-GB"/>
        </w:rPr>
        <w:tab/>
      </w:r>
      <w:r w:rsidR="00C61211" w:rsidRPr="000C423A">
        <w:rPr>
          <w:rFonts w:ascii="Arial" w:hAnsi="Arial" w:cs="Arial"/>
          <w:sz w:val="20"/>
          <w:szCs w:val="20"/>
          <w:lang w:val="en-GB"/>
        </w:rPr>
        <w:tab/>
      </w:r>
      <w:r w:rsidR="00C61211" w:rsidRPr="000C423A">
        <w:rPr>
          <w:rFonts w:ascii="Arial" w:hAnsi="Arial" w:cs="Arial"/>
          <w:sz w:val="20"/>
          <w:szCs w:val="20"/>
          <w:lang w:val="en-GB"/>
        </w:rPr>
        <w:tab/>
      </w:r>
      <w:r w:rsidR="00C61211" w:rsidRPr="000C423A">
        <w:rPr>
          <w:rFonts w:ascii="Arial" w:hAnsi="Arial" w:cs="Arial"/>
          <w:sz w:val="20"/>
          <w:szCs w:val="20"/>
          <w:lang w:val="en-GB"/>
        </w:rPr>
        <w:tab/>
      </w:r>
      <w:r w:rsidR="00C61211" w:rsidRPr="000C423A">
        <w:rPr>
          <w:rFonts w:ascii="Arial" w:hAnsi="Arial" w:cs="Arial"/>
          <w:sz w:val="20"/>
          <w:szCs w:val="20"/>
          <w:lang w:val="en-GB"/>
        </w:rPr>
        <w:tab/>
      </w:r>
      <w:r w:rsidR="00C61211" w:rsidRPr="000C423A">
        <w:rPr>
          <w:rFonts w:ascii="Arial" w:hAnsi="Arial" w:cs="Arial"/>
          <w:sz w:val="20"/>
          <w:szCs w:val="20"/>
          <w:lang w:val="en-GB"/>
        </w:rPr>
        <w:tab/>
      </w:r>
      <w:r w:rsidR="00C61211" w:rsidRPr="000C423A">
        <w:rPr>
          <w:rFonts w:ascii="Arial" w:hAnsi="Arial" w:cs="Arial"/>
          <w:sz w:val="20"/>
          <w:szCs w:val="20"/>
          <w:lang w:val="en-GB"/>
        </w:rPr>
        <w:tab/>
        <w:t xml:space="preserve">TIME </w:t>
      </w:r>
    </w:p>
    <w:p w:rsidR="00C61211" w:rsidRPr="000C423A" w:rsidRDefault="00975AA6" w:rsidP="00C61211">
      <w:pPr>
        <w:spacing w:before="240"/>
        <w:ind w:left="709" w:hanging="720"/>
        <w:jc w:val="both"/>
        <w:rPr>
          <w:rFonts w:ascii="Arial" w:hAnsi="Arial" w:cs="Arial"/>
          <w:sz w:val="20"/>
          <w:szCs w:val="20"/>
          <w:lang w:val="en-GB"/>
        </w:rPr>
      </w:pPr>
      <w:r>
        <w:rPr>
          <w:rFonts w:ascii="Arial" w:hAnsi="Arial" w:cs="Arial"/>
          <w:noProof/>
          <w:sz w:val="20"/>
          <w:szCs w:val="20"/>
        </w:rPr>
        <w:pict>
          <v:line id="_x0000_s1028" style="position:absolute;left:0;text-align:left;z-index:251658752" from="-1pt,3.5pt" to="453.4pt,3.5pt" o:allowincell="f"/>
        </w:pict>
      </w:r>
    </w:p>
    <w:p w:rsidR="00C61211" w:rsidRPr="000C423A" w:rsidRDefault="00C61211" w:rsidP="00C61211">
      <w:pPr>
        <w:spacing w:before="240"/>
        <w:ind w:left="709" w:hanging="720"/>
        <w:jc w:val="both"/>
        <w:rPr>
          <w:rFonts w:ascii="Arial" w:hAnsi="Arial" w:cs="Arial"/>
          <w:b/>
          <w:sz w:val="20"/>
          <w:szCs w:val="20"/>
          <w:lang w:val="en-GB"/>
        </w:rPr>
      </w:pPr>
    </w:p>
    <w:p w:rsidR="00C61211" w:rsidRDefault="00C61211" w:rsidP="00C61211">
      <w:pPr>
        <w:spacing w:before="240"/>
        <w:ind w:left="709" w:hanging="720"/>
        <w:jc w:val="both"/>
        <w:rPr>
          <w:rFonts w:ascii="Arial" w:hAnsi="Arial" w:cs="Arial"/>
          <w:b/>
          <w:sz w:val="20"/>
          <w:szCs w:val="20"/>
          <w:lang w:val="en-GB"/>
        </w:rPr>
      </w:pPr>
    </w:p>
    <w:p w:rsidR="000C423A" w:rsidRDefault="000C423A" w:rsidP="00C61211">
      <w:pPr>
        <w:spacing w:before="240"/>
        <w:ind w:left="709" w:hanging="720"/>
        <w:jc w:val="both"/>
        <w:rPr>
          <w:rFonts w:ascii="Arial" w:hAnsi="Arial" w:cs="Arial"/>
          <w:b/>
          <w:sz w:val="20"/>
          <w:szCs w:val="20"/>
          <w:lang w:val="en-GB"/>
        </w:rPr>
      </w:pPr>
    </w:p>
    <w:p w:rsidR="000C423A" w:rsidRDefault="000C423A" w:rsidP="00C61211">
      <w:pPr>
        <w:spacing w:before="240"/>
        <w:ind w:left="709" w:hanging="720"/>
        <w:jc w:val="both"/>
        <w:rPr>
          <w:rFonts w:ascii="Arial" w:hAnsi="Arial" w:cs="Arial"/>
          <w:b/>
          <w:sz w:val="20"/>
          <w:szCs w:val="20"/>
          <w:lang w:val="en-GB"/>
        </w:rPr>
      </w:pPr>
    </w:p>
    <w:p w:rsidR="000C423A" w:rsidRDefault="000C423A" w:rsidP="00C61211">
      <w:pPr>
        <w:spacing w:before="240"/>
        <w:ind w:left="709" w:hanging="720"/>
        <w:jc w:val="both"/>
        <w:rPr>
          <w:rFonts w:ascii="Arial" w:hAnsi="Arial" w:cs="Arial"/>
          <w:b/>
          <w:sz w:val="20"/>
          <w:szCs w:val="20"/>
          <w:lang w:val="en-GB"/>
        </w:rPr>
      </w:pPr>
    </w:p>
    <w:p w:rsidR="000C423A" w:rsidRPr="000C423A" w:rsidRDefault="000C423A" w:rsidP="00C61211">
      <w:pPr>
        <w:spacing w:before="240"/>
        <w:ind w:left="709" w:hanging="720"/>
        <w:jc w:val="both"/>
        <w:rPr>
          <w:rFonts w:ascii="Arial" w:hAnsi="Arial" w:cs="Arial"/>
          <w:b/>
          <w:sz w:val="20"/>
          <w:szCs w:val="20"/>
          <w:lang w:val="en-GB"/>
        </w:rPr>
      </w:pPr>
    </w:p>
    <w:p w:rsidR="00C61211" w:rsidRPr="000C423A" w:rsidRDefault="00C61211" w:rsidP="00C61211">
      <w:pPr>
        <w:spacing w:before="240"/>
        <w:jc w:val="both"/>
        <w:rPr>
          <w:rFonts w:ascii="Arial" w:hAnsi="Arial" w:cs="Arial"/>
          <w:b/>
          <w:sz w:val="20"/>
          <w:szCs w:val="20"/>
          <w:u w:val="single"/>
          <w:lang w:val="en-GB"/>
        </w:rPr>
      </w:pPr>
      <w:r w:rsidRPr="000C423A">
        <w:rPr>
          <w:rFonts w:ascii="Arial" w:hAnsi="Arial" w:cs="Arial"/>
          <w:b/>
          <w:sz w:val="20"/>
          <w:szCs w:val="20"/>
          <w:u w:val="single"/>
          <w:lang w:val="en-GB"/>
        </w:rPr>
        <w:t>REFLECTION ON YOUR ACTIVITY</w:t>
      </w:r>
      <w:r w:rsidR="000C423A">
        <w:rPr>
          <w:rFonts w:ascii="Arial" w:hAnsi="Arial" w:cs="Arial"/>
          <w:b/>
          <w:sz w:val="20"/>
          <w:szCs w:val="20"/>
          <w:u w:val="single"/>
          <w:lang w:val="en-GB"/>
        </w:rPr>
        <w:t xml:space="preserve"> (100 words)</w:t>
      </w:r>
    </w:p>
    <w:p w:rsidR="00C61211" w:rsidRPr="000C423A" w:rsidRDefault="00C61211" w:rsidP="00C61211">
      <w:pPr>
        <w:spacing w:before="240"/>
        <w:jc w:val="both"/>
        <w:rPr>
          <w:rFonts w:ascii="Arial" w:hAnsi="Arial" w:cs="Arial"/>
          <w:b/>
          <w:sz w:val="20"/>
          <w:szCs w:val="20"/>
          <w:u w:val="single"/>
          <w:lang w:val="en-GB"/>
        </w:rPr>
      </w:pPr>
    </w:p>
    <w:p w:rsidR="00CC1974" w:rsidRPr="000C423A" w:rsidRDefault="00CC1974" w:rsidP="0033072C">
      <w:pPr>
        <w:jc w:val="both"/>
        <w:rPr>
          <w:rFonts w:ascii="Arial" w:hAnsi="Arial" w:cs="Arial"/>
          <w:sz w:val="20"/>
          <w:szCs w:val="20"/>
        </w:rPr>
      </w:pPr>
    </w:p>
    <w:p w:rsidR="00CC1974" w:rsidRPr="000C423A" w:rsidRDefault="00CC1974" w:rsidP="0033072C">
      <w:pPr>
        <w:jc w:val="both"/>
        <w:rPr>
          <w:rFonts w:ascii="Arial" w:hAnsi="Arial" w:cs="Arial"/>
          <w:sz w:val="20"/>
          <w:szCs w:val="20"/>
        </w:rPr>
      </w:pPr>
    </w:p>
    <w:p w:rsidR="00CC1974" w:rsidRPr="000C423A" w:rsidRDefault="000C423A" w:rsidP="000C423A">
      <w:pPr>
        <w:jc w:val="center"/>
        <w:rPr>
          <w:rFonts w:ascii="Arial" w:hAnsi="Arial" w:cs="Arial"/>
          <w:sz w:val="20"/>
          <w:szCs w:val="20"/>
        </w:rPr>
      </w:pPr>
      <w:r>
        <w:rPr>
          <w:rFonts w:ascii="Arial" w:hAnsi="Arial" w:cs="Arial"/>
          <w:sz w:val="20"/>
          <w:szCs w:val="20"/>
        </w:rPr>
        <w:t>Figure 1: Reflective Log Model for Discussion</w:t>
      </w:r>
    </w:p>
    <w:p w:rsidR="00CC1974" w:rsidRPr="000C423A" w:rsidRDefault="00CC1974" w:rsidP="0033072C">
      <w:pPr>
        <w:jc w:val="both"/>
        <w:rPr>
          <w:rFonts w:ascii="Arial" w:hAnsi="Arial" w:cs="Arial"/>
          <w:sz w:val="20"/>
          <w:szCs w:val="20"/>
        </w:rPr>
      </w:pPr>
    </w:p>
    <w:p w:rsidR="000C423A" w:rsidRPr="00F41B85" w:rsidRDefault="000C423A" w:rsidP="00F41B85">
      <w:pPr>
        <w:pStyle w:val="ListParagraph"/>
        <w:numPr>
          <w:ilvl w:val="0"/>
          <w:numId w:val="5"/>
        </w:numPr>
        <w:jc w:val="both"/>
        <w:rPr>
          <w:rStyle w:val="Strong"/>
          <w:rFonts w:ascii="Arial" w:hAnsi="Arial" w:cs="Arial"/>
          <w:noProof/>
        </w:rPr>
      </w:pPr>
      <w:r w:rsidRPr="00F41B85">
        <w:rPr>
          <w:rStyle w:val="Strong"/>
          <w:rFonts w:ascii="Arial" w:hAnsi="Arial" w:cs="Arial"/>
          <w:noProof/>
        </w:rPr>
        <w:t>Conclusion</w:t>
      </w:r>
    </w:p>
    <w:p w:rsidR="000C423A" w:rsidRPr="000C423A" w:rsidRDefault="000C423A" w:rsidP="000C423A">
      <w:pPr>
        <w:jc w:val="both"/>
        <w:rPr>
          <w:rStyle w:val="Strong"/>
          <w:rFonts w:ascii="Arial" w:hAnsi="Arial" w:cs="Arial"/>
          <w:b w:val="0"/>
          <w:noProof/>
          <w:sz w:val="20"/>
          <w:szCs w:val="20"/>
        </w:rPr>
      </w:pPr>
      <w:r w:rsidRPr="000C423A">
        <w:rPr>
          <w:rStyle w:val="Strong"/>
          <w:rFonts w:ascii="Arial" w:hAnsi="Arial" w:cs="Arial"/>
          <w:b w:val="0"/>
          <w:noProof/>
          <w:sz w:val="20"/>
          <w:szCs w:val="20"/>
        </w:rPr>
        <w:t>Non-engagement by students, with its different definitions and connotations, is perceived by academics as an issue in higher education today. The concern should be that such non-engagement leads to graduates who do not possess the attributes, attitudes, skills, knowledge and understanding that ensure the productive advancement of society.</w:t>
      </w:r>
      <w:r w:rsidRPr="000C423A">
        <w:rPr>
          <w:rFonts w:ascii="Arial" w:hAnsi="Arial" w:cs="Arial"/>
          <w:sz w:val="20"/>
          <w:szCs w:val="20"/>
        </w:rPr>
        <w:t xml:space="preserve"> There is sufficient anecdotal and empirical evidence to suggest that employers are becoming increasingly adversely critical of the skills, abilities and knowledge of graduates. The concluding argument of this paper is that curricula, teaching and learning methods, and assessment strategies used in universities focus too much on knowledge which is abstract and out of context. Society</w:t>
      </w:r>
      <w:r w:rsidR="0082258C">
        <w:rPr>
          <w:rFonts w:ascii="Arial" w:hAnsi="Arial" w:cs="Arial"/>
          <w:sz w:val="20"/>
          <w:szCs w:val="20"/>
        </w:rPr>
        <w:t xml:space="preserve"> is built upon education. </w:t>
      </w:r>
      <w:proofErr w:type="gramStart"/>
      <w:r w:rsidR="0082258C">
        <w:rPr>
          <w:rFonts w:ascii="Arial" w:hAnsi="Arial" w:cs="Arial"/>
          <w:sz w:val="20"/>
          <w:szCs w:val="20"/>
        </w:rPr>
        <w:t xml:space="preserve">Those </w:t>
      </w:r>
      <w:r w:rsidRPr="000C423A">
        <w:rPr>
          <w:rFonts w:ascii="Arial" w:hAnsi="Arial" w:cs="Arial"/>
          <w:sz w:val="20"/>
          <w:szCs w:val="20"/>
        </w:rPr>
        <w:t>key graduate</w:t>
      </w:r>
      <w:proofErr w:type="gramEnd"/>
      <w:r w:rsidRPr="000C423A">
        <w:rPr>
          <w:rFonts w:ascii="Arial" w:hAnsi="Arial" w:cs="Arial"/>
          <w:sz w:val="20"/>
          <w:szCs w:val="20"/>
        </w:rPr>
        <w:t xml:space="preserve"> attributes of imagination, creativ</w:t>
      </w:r>
      <w:r w:rsidR="0082258C">
        <w:rPr>
          <w:rFonts w:ascii="Arial" w:hAnsi="Arial" w:cs="Arial"/>
          <w:sz w:val="20"/>
          <w:szCs w:val="20"/>
        </w:rPr>
        <w:t xml:space="preserve">ity, communication, teamwork, </w:t>
      </w:r>
      <w:proofErr w:type="spellStart"/>
      <w:r w:rsidR="0082258C">
        <w:rPr>
          <w:rFonts w:ascii="Arial" w:hAnsi="Arial" w:cs="Arial"/>
          <w:sz w:val="20"/>
          <w:szCs w:val="20"/>
        </w:rPr>
        <w:t>endeavour</w:t>
      </w:r>
      <w:proofErr w:type="spellEnd"/>
      <w:r w:rsidR="0082258C">
        <w:rPr>
          <w:rFonts w:ascii="Arial" w:hAnsi="Arial" w:cs="Arial"/>
          <w:sz w:val="20"/>
          <w:szCs w:val="20"/>
        </w:rPr>
        <w:t xml:space="preserve"> and reflection</w:t>
      </w:r>
      <w:r w:rsidRPr="000C423A">
        <w:rPr>
          <w:rFonts w:ascii="Arial" w:hAnsi="Arial" w:cs="Arial"/>
          <w:sz w:val="20"/>
          <w:szCs w:val="20"/>
        </w:rPr>
        <w:t xml:space="preserve"> that require engagement and which are essential contributions to an advancing society, are thereby being diminished.</w:t>
      </w:r>
      <w:r w:rsidR="0082258C">
        <w:rPr>
          <w:rFonts w:ascii="Arial" w:hAnsi="Arial" w:cs="Arial"/>
          <w:sz w:val="20"/>
          <w:szCs w:val="20"/>
        </w:rPr>
        <w:t xml:space="preserve"> A curriculum that </w:t>
      </w:r>
      <w:proofErr w:type="spellStart"/>
      <w:r w:rsidR="0075609B">
        <w:rPr>
          <w:rFonts w:ascii="Arial" w:hAnsi="Arial" w:cs="Arial"/>
          <w:sz w:val="20"/>
          <w:szCs w:val="20"/>
        </w:rPr>
        <w:t>emphasises</w:t>
      </w:r>
      <w:proofErr w:type="spellEnd"/>
      <w:r w:rsidR="0075609B">
        <w:rPr>
          <w:rFonts w:ascii="Arial" w:hAnsi="Arial" w:cs="Arial"/>
          <w:sz w:val="20"/>
          <w:szCs w:val="20"/>
        </w:rPr>
        <w:t xml:space="preserve"> wisdom and reflection may produce graduates </w:t>
      </w:r>
      <w:r w:rsidR="0075609B" w:rsidRPr="0075609B">
        <w:rPr>
          <w:rFonts w:ascii="Arial" w:hAnsi="Arial" w:cs="Arial"/>
          <w:i/>
          <w:sz w:val="20"/>
          <w:szCs w:val="20"/>
        </w:rPr>
        <w:t>ready to do business</w:t>
      </w:r>
      <w:r w:rsidR="0075609B">
        <w:rPr>
          <w:rFonts w:ascii="Arial" w:hAnsi="Arial" w:cs="Arial"/>
          <w:sz w:val="20"/>
          <w:szCs w:val="20"/>
        </w:rPr>
        <w:t>.</w:t>
      </w:r>
    </w:p>
    <w:p w:rsidR="00CC1974" w:rsidRPr="00F41B85" w:rsidRDefault="00F41B85" w:rsidP="0033072C">
      <w:pPr>
        <w:jc w:val="both"/>
        <w:rPr>
          <w:rFonts w:ascii="Arial" w:hAnsi="Arial" w:cs="Arial"/>
          <w:b/>
          <w:sz w:val="20"/>
          <w:szCs w:val="20"/>
        </w:rPr>
      </w:pPr>
      <w:r w:rsidRPr="00F41B85">
        <w:rPr>
          <w:rFonts w:ascii="Arial" w:hAnsi="Arial" w:cs="Arial"/>
          <w:b/>
          <w:sz w:val="20"/>
          <w:szCs w:val="20"/>
        </w:rPr>
        <w:lastRenderedPageBreak/>
        <w:t>6.1</w:t>
      </w:r>
      <w:r w:rsidRPr="00F41B85">
        <w:rPr>
          <w:rFonts w:ascii="Arial" w:hAnsi="Arial" w:cs="Arial"/>
          <w:b/>
          <w:sz w:val="20"/>
          <w:szCs w:val="20"/>
        </w:rPr>
        <w:tab/>
      </w:r>
      <w:r w:rsidR="003D2E53" w:rsidRPr="00F41B85">
        <w:rPr>
          <w:rFonts w:ascii="Arial" w:hAnsi="Arial" w:cs="Arial"/>
          <w:b/>
          <w:sz w:val="20"/>
          <w:szCs w:val="20"/>
        </w:rPr>
        <w:t>Concluding Comment:</w:t>
      </w:r>
    </w:p>
    <w:p w:rsidR="003D2E53" w:rsidRPr="000C423A" w:rsidRDefault="003D2E53" w:rsidP="0033072C">
      <w:pPr>
        <w:jc w:val="both"/>
        <w:rPr>
          <w:rFonts w:ascii="Arial" w:hAnsi="Arial" w:cs="Arial"/>
          <w:sz w:val="20"/>
          <w:szCs w:val="20"/>
        </w:rPr>
      </w:pPr>
      <w:r w:rsidRPr="000C423A">
        <w:rPr>
          <w:rFonts w:ascii="Arial" w:hAnsi="Arial" w:cs="Arial"/>
          <w:sz w:val="20"/>
          <w:szCs w:val="20"/>
        </w:rPr>
        <w:t xml:space="preserve">This paper has intentionally placed emphasis on the negative comments and issues surrounding the engagement issue. </w:t>
      </w:r>
      <w:r w:rsidR="004F3147" w:rsidRPr="000C423A">
        <w:rPr>
          <w:rFonts w:ascii="Arial" w:hAnsi="Arial" w:cs="Arial"/>
          <w:sz w:val="20"/>
          <w:szCs w:val="20"/>
        </w:rPr>
        <w:t xml:space="preserve">The author </w:t>
      </w:r>
      <w:proofErr w:type="spellStart"/>
      <w:r w:rsidR="004F3147" w:rsidRPr="000C423A">
        <w:rPr>
          <w:rFonts w:ascii="Arial" w:hAnsi="Arial" w:cs="Arial"/>
          <w:sz w:val="20"/>
          <w:szCs w:val="20"/>
        </w:rPr>
        <w:t>recognises</w:t>
      </w:r>
      <w:proofErr w:type="spellEnd"/>
      <w:r w:rsidR="004F3147" w:rsidRPr="000C423A">
        <w:rPr>
          <w:rFonts w:ascii="Arial" w:hAnsi="Arial" w:cs="Arial"/>
          <w:sz w:val="20"/>
          <w:szCs w:val="20"/>
        </w:rPr>
        <w:t xml:space="preserve"> and applauds the positive features of higher education, the high standards of our higher education and the </w:t>
      </w:r>
      <w:proofErr w:type="spellStart"/>
      <w:r w:rsidR="004F3147" w:rsidRPr="000C423A">
        <w:rPr>
          <w:rFonts w:ascii="Arial" w:hAnsi="Arial" w:cs="Arial"/>
          <w:sz w:val="20"/>
          <w:szCs w:val="20"/>
        </w:rPr>
        <w:t>rigour</w:t>
      </w:r>
      <w:proofErr w:type="spellEnd"/>
      <w:r w:rsidR="004F3147" w:rsidRPr="000C423A">
        <w:rPr>
          <w:rFonts w:ascii="Arial" w:hAnsi="Arial" w:cs="Arial"/>
          <w:sz w:val="20"/>
          <w:szCs w:val="20"/>
        </w:rPr>
        <w:t xml:space="preserve"> with which those high standards are applied to produce excellent graduates. </w:t>
      </w:r>
      <w:r w:rsidRPr="000C423A">
        <w:rPr>
          <w:rFonts w:ascii="Arial" w:hAnsi="Arial" w:cs="Arial"/>
          <w:sz w:val="20"/>
          <w:szCs w:val="20"/>
        </w:rPr>
        <w:t xml:space="preserve">The intention </w:t>
      </w:r>
      <w:r w:rsidR="004F3147" w:rsidRPr="000C423A">
        <w:rPr>
          <w:rFonts w:ascii="Arial" w:hAnsi="Arial" w:cs="Arial"/>
          <w:sz w:val="20"/>
          <w:szCs w:val="20"/>
        </w:rPr>
        <w:t xml:space="preserve">of this paper </w:t>
      </w:r>
      <w:r w:rsidRPr="000C423A">
        <w:rPr>
          <w:rFonts w:ascii="Arial" w:hAnsi="Arial" w:cs="Arial"/>
          <w:sz w:val="20"/>
          <w:szCs w:val="20"/>
        </w:rPr>
        <w:t xml:space="preserve">was to provoke discussion and argument and to highlight issues. </w:t>
      </w:r>
      <w:r w:rsidR="004F3147" w:rsidRPr="000C423A">
        <w:rPr>
          <w:rFonts w:ascii="Arial" w:hAnsi="Arial" w:cs="Arial"/>
          <w:sz w:val="20"/>
          <w:szCs w:val="20"/>
        </w:rPr>
        <w:t>In a similar fashion, t</w:t>
      </w:r>
      <w:r w:rsidRPr="000C423A">
        <w:rPr>
          <w:rFonts w:ascii="Arial" w:hAnsi="Arial" w:cs="Arial"/>
          <w:sz w:val="20"/>
          <w:szCs w:val="20"/>
        </w:rPr>
        <w:t xml:space="preserve">he word ‘student’ has been used throughout the text. It is not the intention that this word universally includes all students but rather is to be interpreted as illustrative of </w:t>
      </w:r>
      <w:r w:rsidR="00C31C35" w:rsidRPr="000C423A">
        <w:rPr>
          <w:rFonts w:ascii="Arial" w:hAnsi="Arial" w:cs="Arial"/>
          <w:sz w:val="20"/>
          <w:szCs w:val="20"/>
        </w:rPr>
        <w:t xml:space="preserve">some </w:t>
      </w:r>
      <w:r w:rsidRPr="000C423A">
        <w:rPr>
          <w:rFonts w:ascii="Arial" w:hAnsi="Arial" w:cs="Arial"/>
          <w:sz w:val="20"/>
          <w:szCs w:val="20"/>
        </w:rPr>
        <w:t xml:space="preserve">traits of students. </w:t>
      </w:r>
    </w:p>
    <w:p w:rsidR="00B24641" w:rsidRPr="000C423A" w:rsidRDefault="00B24641" w:rsidP="0033072C">
      <w:pPr>
        <w:jc w:val="both"/>
        <w:rPr>
          <w:rFonts w:ascii="Arial" w:hAnsi="Arial" w:cs="Arial"/>
          <w:b/>
        </w:rPr>
      </w:pPr>
      <w:r w:rsidRPr="000C423A">
        <w:rPr>
          <w:rFonts w:ascii="Arial" w:hAnsi="Arial" w:cs="Arial"/>
          <w:b/>
        </w:rPr>
        <w:t>References:</w:t>
      </w:r>
    </w:p>
    <w:p w:rsidR="00595E7B" w:rsidRPr="000C423A" w:rsidRDefault="00595E7B" w:rsidP="00306778">
      <w:pPr>
        <w:pStyle w:val="ListParagraph"/>
        <w:numPr>
          <w:ilvl w:val="0"/>
          <w:numId w:val="1"/>
        </w:numPr>
        <w:jc w:val="both"/>
        <w:rPr>
          <w:rFonts w:ascii="Arial" w:hAnsi="Arial" w:cs="Arial"/>
          <w:sz w:val="20"/>
          <w:szCs w:val="20"/>
        </w:rPr>
      </w:pPr>
      <w:r w:rsidRPr="000C423A">
        <w:rPr>
          <w:rFonts w:ascii="Arial" w:hAnsi="Arial" w:cs="Arial"/>
          <w:sz w:val="20"/>
          <w:szCs w:val="20"/>
        </w:rPr>
        <w:t xml:space="preserve">AUSSE (2009) </w:t>
      </w:r>
      <w:r w:rsidR="00FF6B4D" w:rsidRPr="000C423A">
        <w:rPr>
          <w:rFonts w:ascii="Arial" w:hAnsi="Arial" w:cs="Arial"/>
          <w:sz w:val="20"/>
          <w:szCs w:val="20"/>
        </w:rPr>
        <w:t xml:space="preserve">Engaging Students for Success, </w:t>
      </w:r>
      <w:r w:rsidR="00FF6B4D" w:rsidRPr="000C423A">
        <w:rPr>
          <w:rFonts w:ascii="Arial" w:hAnsi="Arial" w:cs="Arial"/>
          <w:i/>
          <w:sz w:val="20"/>
          <w:szCs w:val="20"/>
        </w:rPr>
        <w:t>Australasian Student Engagement Report, Australian Survey of Student Engagement</w:t>
      </w:r>
      <w:r w:rsidR="00FF6B4D" w:rsidRPr="000C423A">
        <w:rPr>
          <w:rFonts w:ascii="Arial" w:hAnsi="Arial" w:cs="Arial"/>
          <w:sz w:val="20"/>
          <w:szCs w:val="20"/>
        </w:rPr>
        <w:t>, Australian Council for Educational Research, Victoria, Australia.</w:t>
      </w:r>
    </w:p>
    <w:p w:rsidR="00FF24D3" w:rsidRPr="000C423A" w:rsidRDefault="00FF24D3" w:rsidP="00306778">
      <w:pPr>
        <w:pStyle w:val="ListParagraph"/>
        <w:numPr>
          <w:ilvl w:val="0"/>
          <w:numId w:val="1"/>
        </w:numPr>
        <w:jc w:val="both"/>
        <w:rPr>
          <w:rFonts w:ascii="Arial" w:hAnsi="Arial" w:cs="Arial"/>
          <w:sz w:val="20"/>
          <w:szCs w:val="20"/>
        </w:rPr>
      </w:pPr>
      <w:proofErr w:type="spellStart"/>
      <w:r w:rsidRPr="000C423A">
        <w:rPr>
          <w:rFonts w:ascii="Arial" w:hAnsi="Arial" w:cs="Arial"/>
          <w:sz w:val="20"/>
          <w:szCs w:val="20"/>
        </w:rPr>
        <w:t>Baty</w:t>
      </w:r>
      <w:proofErr w:type="spellEnd"/>
      <w:r w:rsidRPr="000C423A">
        <w:rPr>
          <w:rFonts w:ascii="Arial" w:hAnsi="Arial" w:cs="Arial"/>
          <w:sz w:val="20"/>
          <w:szCs w:val="20"/>
        </w:rPr>
        <w:t xml:space="preserve">, P. (2011) Wise up to the modern world, </w:t>
      </w:r>
      <w:r w:rsidRPr="000C423A">
        <w:rPr>
          <w:rFonts w:ascii="Arial" w:hAnsi="Arial" w:cs="Arial"/>
          <w:i/>
          <w:sz w:val="20"/>
          <w:szCs w:val="20"/>
        </w:rPr>
        <w:t>Times Higher Education</w:t>
      </w:r>
      <w:r w:rsidRPr="000C423A">
        <w:rPr>
          <w:rFonts w:ascii="Arial" w:hAnsi="Arial" w:cs="Arial"/>
          <w:sz w:val="20"/>
          <w:szCs w:val="20"/>
        </w:rPr>
        <w:t>, 28</w:t>
      </w:r>
      <w:r w:rsidRPr="000C423A">
        <w:rPr>
          <w:rFonts w:ascii="Arial" w:hAnsi="Arial" w:cs="Arial"/>
          <w:sz w:val="20"/>
          <w:szCs w:val="20"/>
          <w:vertAlign w:val="superscript"/>
        </w:rPr>
        <w:t>th</w:t>
      </w:r>
      <w:r w:rsidRPr="000C423A">
        <w:rPr>
          <w:rFonts w:ascii="Arial" w:hAnsi="Arial" w:cs="Arial"/>
          <w:sz w:val="20"/>
          <w:szCs w:val="20"/>
        </w:rPr>
        <w:t xml:space="preserve"> April, 2011, p5, London, TSL Education Ltd.</w:t>
      </w:r>
    </w:p>
    <w:p w:rsidR="00DF03C2" w:rsidRPr="000C423A" w:rsidRDefault="00DF03C2" w:rsidP="00306778">
      <w:pPr>
        <w:pStyle w:val="ListParagraph"/>
        <w:numPr>
          <w:ilvl w:val="0"/>
          <w:numId w:val="1"/>
        </w:numPr>
        <w:jc w:val="both"/>
        <w:rPr>
          <w:rFonts w:ascii="Arial" w:hAnsi="Arial" w:cs="Arial"/>
          <w:sz w:val="20"/>
          <w:szCs w:val="20"/>
        </w:rPr>
      </w:pPr>
      <w:proofErr w:type="spellStart"/>
      <w:r w:rsidRPr="000C423A">
        <w:rPr>
          <w:rFonts w:ascii="Arial" w:hAnsi="Arial" w:cs="Arial"/>
          <w:sz w:val="20"/>
          <w:szCs w:val="20"/>
        </w:rPr>
        <w:t>Hu</w:t>
      </w:r>
      <w:proofErr w:type="spellEnd"/>
      <w:r w:rsidRPr="000C423A">
        <w:rPr>
          <w:rFonts w:ascii="Arial" w:hAnsi="Arial" w:cs="Arial"/>
          <w:sz w:val="20"/>
          <w:szCs w:val="20"/>
        </w:rPr>
        <w:t xml:space="preserve">, S. and </w:t>
      </w:r>
      <w:proofErr w:type="spellStart"/>
      <w:r w:rsidRPr="000C423A">
        <w:rPr>
          <w:rFonts w:ascii="Arial" w:hAnsi="Arial" w:cs="Arial"/>
          <w:sz w:val="20"/>
          <w:szCs w:val="20"/>
        </w:rPr>
        <w:t>Kuh</w:t>
      </w:r>
      <w:proofErr w:type="spellEnd"/>
      <w:r w:rsidRPr="000C423A">
        <w:rPr>
          <w:rFonts w:ascii="Arial" w:hAnsi="Arial" w:cs="Arial"/>
          <w:sz w:val="20"/>
          <w:szCs w:val="20"/>
        </w:rPr>
        <w:t>, G.D. (2001) Being (</w:t>
      </w:r>
      <w:proofErr w:type="spellStart"/>
      <w:r w:rsidRPr="000C423A">
        <w:rPr>
          <w:rFonts w:ascii="Arial" w:hAnsi="Arial" w:cs="Arial"/>
          <w:sz w:val="20"/>
          <w:szCs w:val="20"/>
        </w:rPr>
        <w:t>Dis</w:t>
      </w:r>
      <w:proofErr w:type="spellEnd"/>
      <w:proofErr w:type="gramStart"/>
      <w:r w:rsidRPr="000C423A">
        <w:rPr>
          <w:rFonts w:ascii="Arial" w:hAnsi="Arial" w:cs="Arial"/>
          <w:sz w:val="20"/>
          <w:szCs w:val="20"/>
        </w:rPr>
        <w:t>)engaged</w:t>
      </w:r>
      <w:proofErr w:type="gramEnd"/>
      <w:r w:rsidRPr="000C423A">
        <w:rPr>
          <w:rFonts w:ascii="Arial" w:hAnsi="Arial" w:cs="Arial"/>
          <w:sz w:val="20"/>
          <w:szCs w:val="20"/>
        </w:rPr>
        <w:t xml:space="preserve"> in Educationally Purposive Activities: The Influences of Student and Institutional Characteristics</w:t>
      </w:r>
      <w:r w:rsidR="004B6552" w:rsidRPr="000C423A">
        <w:rPr>
          <w:rFonts w:ascii="Arial" w:hAnsi="Arial" w:cs="Arial"/>
          <w:sz w:val="20"/>
          <w:szCs w:val="20"/>
        </w:rPr>
        <w:t xml:space="preserve">. </w:t>
      </w:r>
      <w:r w:rsidR="004B6552" w:rsidRPr="000C423A">
        <w:rPr>
          <w:rFonts w:ascii="Arial" w:hAnsi="Arial" w:cs="Arial"/>
          <w:i/>
          <w:sz w:val="20"/>
          <w:szCs w:val="20"/>
        </w:rPr>
        <w:t>Paper presented at the American Educational Research Association Annual Conference.</w:t>
      </w:r>
      <w:r w:rsidR="004B6552" w:rsidRPr="000C423A">
        <w:rPr>
          <w:rFonts w:ascii="Arial" w:hAnsi="Arial" w:cs="Arial"/>
          <w:sz w:val="20"/>
          <w:szCs w:val="20"/>
        </w:rPr>
        <w:t xml:space="preserve"> Seattle, WA, 10-14 April.</w:t>
      </w:r>
    </w:p>
    <w:p w:rsidR="00306778" w:rsidRPr="000C423A" w:rsidRDefault="006754B6" w:rsidP="00306778">
      <w:pPr>
        <w:pStyle w:val="ListParagraph"/>
        <w:numPr>
          <w:ilvl w:val="0"/>
          <w:numId w:val="1"/>
        </w:numPr>
        <w:jc w:val="both"/>
        <w:rPr>
          <w:rFonts w:ascii="Arial" w:hAnsi="Arial" w:cs="Arial"/>
          <w:sz w:val="20"/>
          <w:szCs w:val="20"/>
        </w:rPr>
      </w:pPr>
      <w:proofErr w:type="spellStart"/>
      <w:r w:rsidRPr="000C423A">
        <w:rPr>
          <w:rFonts w:ascii="Arial" w:hAnsi="Arial" w:cs="Arial"/>
          <w:sz w:val="20"/>
          <w:szCs w:val="20"/>
        </w:rPr>
        <w:t>Kuh</w:t>
      </w:r>
      <w:proofErr w:type="spellEnd"/>
      <w:r w:rsidRPr="000C423A">
        <w:rPr>
          <w:rFonts w:ascii="Arial" w:hAnsi="Arial" w:cs="Arial"/>
          <w:sz w:val="20"/>
          <w:szCs w:val="20"/>
        </w:rPr>
        <w:t xml:space="preserve">, G.D. (2009) </w:t>
      </w:r>
      <w:hyperlink r:id="rId9" w:history="1">
        <w:r w:rsidRPr="000C423A">
          <w:rPr>
            <w:rFonts w:ascii="Arial" w:hAnsi="Arial" w:cs="Arial"/>
            <w:sz w:val="20"/>
            <w:szCs w:val="20"/>
          </w:rPr>
          <w:t>The National Survey of Student Engagement: Conceptual and Empirical Foundations</w:t>
        </w:r>
      </w:hyperlink>
      <w:r w:rsidRPr="000C423A">
        <w:rPr>
          <w:rFonts w:ascii="Arial" w:hAnsi="Arial" w:cs="Arial"/>
          <w:sz w:val="20"/>
          <w:szCs w:val="20"/>
        </w:rPr>
        <w:t xml:space="preserve">, </w:t>
      </w:r>
      <w:r w:rsidRPr="000C423A">
        <w:rPr>
          <w:rStyle w:val="Emphasis"/>
          <w:rFonts w:ascii="Arial" w:hAnsi="Arial" w:cs="Arial"/>
          <w:sz w:val="20"/>
          <w:szCs w:val="20"/>
        </w:rPr>
        <w:t>New Directions for Institutional Research</w:t>
      </w:r>
      <w:r w:rsidRPr="000C423A">
        <w:rPr>
          <w:rFonts w:ascii="Arial" w:hAnsi="Arial" w:cs="Arial"/>
          <w:sz w:val="20"/>
          <w:szCs w:val="20"/>
        </w:rPr>
        <w:t>, vol. 2009, no. 141 (March 9, 2009), pp. 5–20.</w:t>
      </w:r>
    </w:p>
    <w:p w:rsidR="00306778" w:rsidRPr="000C423A" w:rsidRDefault="00306778" w:rsidP="00306778">
      <w:pPr>
        <w:pStyle w:val="ListParagraph"/>
        <w:numPr>
          <w:ilvl w:val="0"/>
          <w:numId w:val="1"/>
        </w:numPr>
        <w:jc w:val="both"/>
        <w:rPr>
          <w:rFonts w:ascii="Arial" w:hAnsi="Arial" w:cs="Arial"/>
          <w:sz w:val="20"/>
          <w:szCs w:val="20"/>
        </w:rPr>
      </w:pPr>
      <w:proofErr w:type="spellStart"/>
      <w:r w:rsidRPr="000C423A">
        <w:rPr>
          <w:rFonts w:ascii="Arial" w:hAnsi="Arial" w:cs="Arial"/>
          <w:color w:val="000000"/>
          <w:sz w:val="20"/>
          <w:szCs w:val="20"/>
        </w:rPr>
        <w:t>Marton</w:t>
      </w:r>
      <w:proofErr w:type="spellEnd"/>
      <w:r w:rsidRPr="000C423A">
        <w:rPr>
          <w:rFonts w:ascii="Arial" w:hAnsi="Arial" w:cs="Arial"/>
          <w:color w:val="000000"/>
          <w:sz w:val="20"/>
          <w:szCs w:val="20"/>
        </w:rPr>
        <w:t xml:space="preserve">, F. and </w:t>
      </w:r>
      <w:proofErr w:type="spellStart"/>
      <w:r w:rsidRPr="000C423A">
        <w:rPr>
          <w:rFonts w:ascii="Arial" w:hAnsi="Arial" w:cs="Arial"/>
          <w:color w:val="000000"/>
          <w:sz w:val="20"/>
          <w:szCs w:val="20"/>
        </w:rPr>
        <w:t>Saljo</w:t>
      </w:r>
      <w:proofErr w:type="spellEnd"/>
      <w:r w:rsidRPr="000C423A">
        <w:rPr>
          <w:rFonts w:ascii="Arial" w:hAnsi="Arial" w:cs="Arial"/>
          <w:color w:val="000000"/>
          <w:sz w:val="20"/>
          <w:szCs w:val="20"/>
        </w:rPr>
        <w:t xml:space="preserve"> (1976) "On Qualitative Differences in Learning — 1: Outcome and Process"</w:t>
      </w:r>
      <w:r w:rsidRPr="000C423A">
        <w:rPr>
          <w:rFonts w:ascii="Arial" w:hAnsi="Arial" w:cs="Arial"/>
          <w:i/>
          <w:iCs/>
          <w:color w:val="000000"/>
          <w:sz w:val="20"/>
          <w:szCs w:val="20"/>
        </w:rPr>
        <w:t xml:space="preserve"> Brit. J. Educ. Psych.</w:t>
      </w:r>
      <w:r w:rsidRPr="000C423A">
        <w:rPr>
          <w:rFonts w:ascii="Arial" w:hAnsi="Arial" w:cs="Arial"/>
          <w:color w:val="000000"/>
          <w:sz w:val="20"/>
          <w:szCs w:val="20"/>
        </w:rPr>
        <w:t xml:space="preserve"> 46, 4-11  </w:t>
      </w:r>
    </w:p>
    <w:p w:rsidR="00306778" w:rsidRPr="000C423A" w:rsidRDefault="00306778" w:rsidP="00306778">
      <w:pPr>
        <w:pStyle w:val="ListParagraph"/>
        <w:numPr>
          <w:ilvl w:val="0"/>
          <w:numId w:val="1"/>
        </w:numPr>
        <w:jc w:val="both"/>
        <w:rPr>
          <w:rFonts w:ascii="Arial" w:hAnsi="Arial" w:cs="Arial"/>
          <w:sz w:val="20"/>
          <w:szCs w:val="20"/>
        </w:rPr>
      </w:pPr>
      <w:proofErr w:type="spellStart"/>
      <w:r w:rsidRPr="000C423A">
        <w:rPr>
          <w:rFonts w:ascii="Arial" w:hAnsi="Arial" w:cs="Arial"/>
          <w:color w:val="000000"/>
          <w:sz w:val="20"/>
          <w:szCs w:val="20"/>
        </w:rPr>
        <w:t>Marton</w:t>
      </w:r>
      <w:proofErr w:type="spellEnd"/>
      <w:r w:rsidRPr="000C423A">
        <w:rPr>
          <w:rFonts w:ascii="Arial" w:hAnsi="Arial" w:cs="Arial"/>
          <w:color w:val="000000"/>
          <w:sz w:val="20"/>
          <w:szCs w:val="20"/>
        </w:rPr>
        <w:t xml:space="preserve">, F. and </w:t>
      </w:r>
      <w:proofErr w:type="spellStart"/>
      <w:r w:rsidRPr="000C423A">
        <w:rPr>
          <w:rFonts w:ascii="Arial" w:hAnsi="Arial" w:cs="Arial"/>
          <w:color w:val="000000"/>
          <w:sz w:val="20"/>
          <w:szCs w:val="20"/>
        </w:rPr>
        <w:t>Saljo</w:t>
      </w:r>
      <w:proofErr w:type="spellEnd"/>
      <w:r w:rsidRPr="000C423A">
        <w:rPr>
          <w:rFonts w:ascii="Arial" w:hAnsi="Arial" w:cs="Arial"/>
          <w:color w:val="000000"/>
          <w:sz w:val="20"/>
          <w:szCs w:val="20"/>
        </w:rPr>
        <w:t xml:space="preserve"> (1976) "On Qualitative Differences in Learning — 2: Outcome as a function of the learner's conception of the task" </w:t>
      </w:r>
      <w:r w:rsidRPr="000C423A">
        <w:rPr>
          <w:rFonts w:ascii="Arial" w:hAnsi="Arial" w:cs="Arial"/>
          <w:i/>
          <w:iCs/>
          <w:color w:val="000000"/>
          <w:sz w:val="20"/>
          <w:szCs w:val="20"/>
        </w:rPr>
        <w:t>Brit. J. Educ. Psych.</w:t>
      </w:r>
      <w:r w:rsidRPr="000C423A">
        <w:rPr>
          <w:rFonts w:ascii="Arial" w:hAnsi="Arial" w:cs="Arial"/>
          <w:color w:val="000000"/>
          <w:sz w:val="20"/>
          <w:szCs w:val="20"/>
        </w:rPr>
        <w:t xml:space="preserve"> 46, 115-27 </w:t>
      </w:r>
    </w:p>
    <w:p w:rsidR="004D4E28" w:rsidRPr="000C423A" w:rsidRDefault="004D4E28" w:rsidP="004D4E28">
      <w:pPr>
        <w:pStyle w:val="ListParagraph"/>
        <w:numPr>
          <w:ilvl w:val="0"/>
          <w:numId w:val="1"/>
        </w:numPr>
        <w:jc w:val="both"/>
        <w:rPr>
          <w:rFonts w:ascii="Arial" w:eastAsia="Calibri" w:hAnsi="Arial" w:cs="Arial"/>
          <w:sz w:val="20"/>
          <w:szCs w:val="20"/>
        </w:rPr>
      </w:pPr>
      <w:proofErr w:type="spellStart"/>
      <w:r w:rsidRPr="000C423A">
        <w:rPr>
          <w:rFonts w:ascii="Arial" w:eastAsia="Calibri" w:hAnsi="Arial" w:cs="Arial"/>
          <w:sz w:val="20"/>
          <w:szCs w:val="20"/>
        </w:rPr>
        <w:t>McLernon</w:t>
      </w:r>
      <w:proofErr w:type="spellEnd"/>
      <w:r w:rsidRPr="000C423A">
        <w:rPr>
          <w:rFonts w:ascii="Arial" w:eastAsia="Calibri" w:hAnsi="Arial" w:cs="Arial"/>
          <w:sz w:val="20"/>
          <w:szCs w:val="20"/>
        </w:rPr>
        <w:t>, T</w:t>
      </w:r>
      <w:r w:rsidRPr="000C423A">
        <w:rPr>
          <w:rFonts w:ascii="Arial" w:hAnsi="Arial" w:cs="Arial"/>
          <w:sz w:val="20"/>
          <w:szCs w:val="20"/>
        </w:rPr>
        <w:t>.</w:t>
      </w:r>
      <w:r w:rsidRPr="000C423A">
        <w:rPr>
          <w:rFonts w:ascii="Arial" w:eastAsia="Calibri" w:hAnsi="Arial" w:cs="Arial"/>
          <w:sz w:val="20"/>
          <w:szCs w:val="20"/>
        </w:rPr>
        <w:t xml:space="preserve"> (2010) </w:t>
      </w:r>
      <w:r w:rsidRPr="000C423A">
        <w:rPr>
          <w:rFonts w:ascii="Arial" w:eastAsia="Calibri" w:hAnsi="Arial" w:cs="Arial"/>
          <w:i/>
          <w:sz w:val="20"/>
          <w:szCs w:val="20"/>
        </w:rPr>
        <w:t xml:space="preserve">Integrative Learning, Teaching and Assessment Strategy, </w:t>
      </w:r>
      <w:r w:rsidRPr="000C423A">
        <w:rPr>
          <w:rFonts w:ascii="Arial" w:eastAsia="Calibri" w:hAnsi="Arial" w:cs="Arial"/>
          <w:sz w:val="20"/>
          <w:szCs w:val="20"/>
        </w:rPr>
        <w:t>abstract and</w:t>
      </w:r>
      <w:r w:rsidRPr="000C423A">
        <w:rPr>
          <w:rFonts w:ascii="Arial" w:eastAsia="Calibri" w:hAnsi="Arial" w:cs="Arial"/>
          <w:i/>
          <w:sz w:val="20"/>
          <w:szCs w:val="20"/>
        </w:rPr>
        <w:t xml:space="preserve"> </w:t>
      </w:r>
      <w:r w:rsidRPr="000C423A">
        <w:rPr>
          <w:rFonts w:ascii="Arial" w:eastAsia="Calibri" w:hAnsi="Arial" w:cs="Arial"/>
          <w:sz w:val="20"/>
          <w:szCs w:val="20"/>
        </w:rPr>
        <w:t>presentation made by poster, presented at the NAIRTL / LIN (National Academy for Integration of Research, Learning and Teaching / Learning Innovation Network) Conference, October 6-7, 2010, Royal College of Surgeons, Dublin, Ireland.</w:t>
      </w:r>
    </w:p>
    <w:p w:rsidR="004D4E28" w:rsidRPr="000C423A" w:rsidRDefault="004D4E28" w:rsidP="004D4E28">
      <w:pPr>
        <w:pStyle w:val="ListParagraph"/>
        <w:numPr>
          <w:ilvl w:val="0"/>
          <w:numId w:val="1"/>
        </w:numPr>
        <w:jc w:val="both"/>
        <w:rPr>
          <w:rFonts w:ascii="Arial" w:hAnsi="Arial" w:cs="Arial"/>
          <w:sz w:val="20"/>
          <w:szCs w:val="20"/>
        </w:rPr>
      </w:pPr>
      <w:proofErr w:type="spellStart"/>
      <w:r w:rsidRPr="000C423A">
        <w:rPr>
          <w:rFonts w:ascii="Arial" w:eastAsia="Arial Unicode MS" w:hAnsi="Arial" w:cs="Arial"/>
          <w:sz w:val="20"/>
          <w:szCs w:val="20"/>
        </w:rPr>
        <w:t>McLernon</w:t>
      </w:r>
      <w:proofErr w:type="spellEnd"/>
      <w:r w:rsidRPr="000C423A">
        <w:rPr>
          <w:rFonts w:ascii="Arial" w:eastAsia="Arial Unicode MS" w:hAnsi="Arial" w:cs="Arial"/>
          <w:sz w:val="20"/>
          <w:szCs w:val="20"/>
        </w:rPr>
        <w:t xml:space="preserve">, T. (2006) </w:t>
      </w:r>
      <w:proofErr w:type="spellStart"/>
      <w:r w:rsidRPr="000C423A">
        <w:rPr>
          <w:rFonts w:ascii="Arial" w:eastAsia="Arial Unicode MS" w:hAnsi="Arial" w:cs="Arial"/>
          <w:i/>
          <w:iCs/>
          <w:sz w:val="20"/>
          <w:szCs w:val="20"/>
        </w:rPr>
        <w:t>Socialisation</w:t>
      </w:r>
      <w:proofErr w:type="spellEnd"/>
      <w:r w:rsidRPr="000C423A">
        <w:rPr>
          <w:rFonts w:ascii="Arial" w:eastAsia="Arial Unicode MS" w:hAnsi="Arial" w:cs="Arial"/>
          <w:i/>
          <w:iCs/>
          <w:sz w:val="20"/>
          <w:szCs w:val="20"/>
        </w:rPr>
        <w:t xml:space="preserve"> and </w:t>
      </w:r>
      <w:proofErr w:type="spellStart"/>
      <w:r w:rsidRPr="000C423A">
        <w:rPr>
          <w:rFonts w:ascii="Arial" w:eastAsia="Arial Unicode MS" w:hAnsi="Arial" w:cs="Arial"/>
          <w:i/>
          <w:iCs/>
          <w:sz w:val="20"/>
          <w:szCs w:val="20"/>
        </w:rPr>
        <w:t>Contextualisation</w:t>
      </w:r>
      <w:proofErr w:type="spellEnd"/>
      <w:r w:rsidRPr="000C423A">
        <w:rPr>
          <w:rFonts w:ascii="Arial" w:eastAsia="Arial Unicode MS" w:hAnsi="Arial" w:cs="Arial"/>
          <w:i/>
          <w:iCs/>
          <w:sz w:val="20"/>
          <w:szCs w:val="20"/>
        </w:rPr>
        <w:t>: Methods for Advancing the Teaching and Learning Experience in Higher Education,</w:t>
      </w:r>
      <w:r w:rsidRPr="000C423A">
        <w:rPr>
          <w:rFonts w:ascii="Arial" w:eastAsia="Arial Unicode MS" w:hAnsi="Arial" w:cs="Arial"/>
          <w:sz w:val="20"/>
          <w:szCs w:val="20"/>
        </w:rPr>
        <w:t xml:space="preserve"> Paper</w:t>
      </w:r>
      <w:r w:rsidRPr="000C423A">
        <w:rPr>
          <w:rFonts w:ascii="Arial" w:eastAsia="Calibri" w:hAnsi="Arial" w:cs="Arial"/>
          <w:sz w:val="20"/>
          <w:szCs w:val="20"/>
        </w:rPr>
        <w:t xml:space="preserve"> presented at International Conference on Interdisciplinary Social Sciences, University of the Aegean, Rhodes, Greece, 18 to 21 July 2006; published in the Proceedings of the International Conference on Interdisciplinary Social Sciences, University of the Aegean, Rhodes, Greece, 18 to 21 July 2006.</w:t>
      </w:r>
    </w:p>
    <w:p w:rsidR="005378A5" w:rsidRPr="000C423A" w:rsidRDefault="005378A5" w:rsidP="004D4E28">
      <w:pPr>
        <w:pStyle w:val="ListParagraph"/>
        <w:numPr>
          <w:ilvl w:val="0"/>
          <w:numId w:val="1"/>
        </w:numPr>
        <w:jc w:val="both"/>
        <w:rPr>
          <w:rFonts w:ascii="Arial" w:hAnsi="Arial" w:cs="Arial"/>
          <w:sz w:val="20"/>
          <w:szCs w:val="20"/>
        </w:rPr>
      </w:pPr>
      <w:proofErr w:type="spellStart"/>
      <w:r w:rsidRPr="000C423A">
        <w:rPr>
          <w:rFonts w:ascii="Arial" w:eastAsia="Calibri" w:hAnsi="Arial" w:cs="Arial"/>
          <w:sz w:val="20"/>
          <w:szCs w:val="20"/>
        </w:rPr>
        <w:t>Schon</w:t>
      </w:r>
      <w:proofErr w:type="spellEnd"/>
      <w:r w:rsidRPr="000C423A">
        <w:rPr>
          <w:rFonts w:ascii="Arial" w:eastAsia="Calibri" w:hAnsi="Arial" w:cs="Arial"/>
          <w:sz w:val="20"/>
          <w:szCs w:val="20"/>
        </w:rPr>
        <w:t xml:space="preserve">, D.A. (1983) </w:t>
      </w:r>
      <w:r w:rsidRPr="000C423A">
        <w:rPr>
          <w:rFonts w:ascii="Arial" w:hAnsi="Arial" w:cs="Arial"/>
          <w:i/>
          <w:iCs/>
          <w:sz w:val="20"/>
          <w:szCs w:val="20"/>
        </w:rPr>
        <w:t>The Reflective Practitioner: How professionals think in action</w:t>
      </w:r>
      <w:r w:rsidRPr="000C423A">
        <w:rPr>
          <w:rFonts w:ascii="Arial" w:hAnsi="Arial" w:cs="Arial"/>
          <w:sz w:val="20"/>
          <w:szCs w:val="20"/>
        </w:rPr>
        <w:t>. London: Temple Smith.</w:t>
      </w:r>
    </w:p>
    <w:p w:rsidR="00306778" w:rsidRPr="000C423A" w:rsidRDefault="00B24641" w:rsidP="00306778">
      <w:pPr>
        <w:pStyle w:val="ListParagraph"/>
        <w:numPr>
          <w:ilvl w:val="0"/>
          <w:numId w:val="1"/>
        </w:numPr>
        <w:jc w:val="both"/>
        <w:rPr>
          <w:rFonts w:ascii="Arial" w:hAnsi="Arial" w:cs="Arial"/>
          <w:sz w:val="20"/>
          <w:szCs w:val="20"/>
        </w:rPr>
      </w:pPr>
      <w:proofErr w:type="spellStart"/>
      <w:r w:rsidRPr="000C423A">
        <w:rPr>
          <w:rFonts w:ascii="Arial" w:hAnsi="Arial" w:cs="Arial"/>
          <w:sz w:val="20"/>
          <w:szCs w:val="20"/>
        </w:rPr>
        <w:t>Trowler</w:t>
      </w:r>
      <w:proofErr w:type="spellEnd"/>
      <w:r w:rsidRPr="000C423A">
        <w:rPr>
          <w:rFonts w:ascii="Arial" w:hAnsi="Arial" w:cs="Arial"/>
          <w:sz w:val="20"/>
          <w:szCs w:val="20"/>
        </w:rPr>
        <w:t xml:space="preserve">, V. and </w:t>
      </w:r>
      <w:proofErr w:type="spellStart"/>
      <w:r w:rsidRPr="000C423A">
        <w:rPr>
          <w:rFonts w:ascii="Arial" w:hAnsi="Arial" w:cs="Arial"/>
          <w:sz w:val="20"/>
          <w:szCs w:val="20"/>
        </w:rPr>
        <w:t>Trowler</w:t>
      </w:r>
      <w:proofErr w:type="spellEnd"/>
      <w:r w:rsidRPr="000C423A">
        <w:rPr>
          <w:rFonts w:ascii="Arial" w:hAnsi="Arial" w:cs="Arial"/>
          <w:sz w:val="20"/>
          <w:szCs w:val="20"/>
        </w:rPr>
        <w:t>, P. (2010)</w:t>
      </w:r>
      <w:r w:rsidR="00F20E9D" w:rsidRPr="000C423A">
        <w:rPr>
          <w:rFonts w:ascii="Arial" w:hAnsi="Arial" w:cs="Arial"/>
          <w:sz w:val="20"/>
          <w:szCs w:val="20"/>
        </w:rPr>
        <w:t xml:space="preserve"> </w:t>
      </w:r>
      <w:r w:rsidR="00F20E9D" w:rsidRPr="000C423A">
        <w:rPr>
          <w:rFonts w:ascii="Arial" w:hAnsi="Arial" w:cs="Arial"/>
          <w:i/>
          <w:sz w:val="20"/>
          <w:szCs w:val="20"/>
        </w:rPr>
        <w:t>Student Engagement Evidence Summary</w:t>
      </w:r>
      <w:r w:rsidR="00F20E9D" w:rsidRPr="000C423A">
        <w:rPr>
          <w:rFonts w:ascii="Arial" w:hAnsi="Arial" w:cs="Arial"/>
          <w:sz w:val="20"/>
          <w:szCs w:val="20"/>
        </w:rPr>
        <w:t>, Higher Education Academy, York.</w:t>
      </w:r>
    </w:p>
    <w:p w:rsidR="00B24641" w:rsidRPr="000C423A" w:rsidRDefault="00B24641" w:rsidP="00306778">
      <w:pPr>
        <w:pStyle w:val="ListParagraph"/>
        <w:numPr>
          <w:ilvl w:val="0"/>
          <w:numId w:val="1"/>
        </w:numPr>
        <w:jc w:val="both"/>
        <w:rPr>
          <w:rFonts w:ascii="Arial" w:hAnsi="Arial" w:cs="Arial"/>
          <w:sz w:val="20"/>
          <w:szCs w:val="20"/>
        </w:rPr>
      </w:pPr>
      <w:proofErr w:type="spellStart"/>
      <w:r w:rsidRPr="000C423A">
        <w:rPr>
          <w:rFonts w:ascii="Arial" w:hAnsi="Arial" w:cs="Arial"/>
          <w:sz w:val="20"/>
          <w:szCs w:val="20"/>
        </w:rPr>
        <w:t>Trowler</w:t>
      </w:r>
      <w:proofErr w:type="spellEnd"/>
      <w:r w:rsidR="00F20E9D" w:rsidRPr="000C423A">
        <w:rPr>
          <w:rFonts w:ascii="Arial" w:hAnsi="Arial" w:cs="Arial"/>
          <w:sz w:val="20"/>
          <w:szCs w:val="20"/>
        </w:rPr>
        <w:t>, V.</w:t>
      </w:r>
      <w:r w:rsidRPr="000C423A">
        <w:rPr>
          <w:rFonts w:ascii="Arial" w:hAnsi="Arial" w:cs="Arial"/>
          <w:sz w:val="20"/>
          <w:szCs w:val="20"/>
        </w:rPr>
        <w:t xml:space="preserve"> (2010),</w:t>
      </w:r>
      <w:r w:rsidR="00F20E9D" w:rsidRPr="000C423A">
        <w:rPr>
          <w:rFonts w:ascii="Arial" w:hAnsi="Arial" w:cs="Arial"/>
          <w:sz w:val="20"/>
          <w:szCs w:val="20"/>
        </w:rPr>
        <w:t xml:space="preserve"> </w:t>
      </w:r>
      <w:r w:rsidR="00F20E9D" w:rsidRPr="000C423A">
        <w:rPr>
          <w:rFonts w:ascii="Arial" w:hAnsi="Arial" w:cs="Arial"/>
          <w:i/>
          <w:sz w:val="20"/>
          <w:szCs w:val="20"/>
        </w:rPr>
        <w:t>Student Engagement Literature Review</w:t>
      </w:r>
      <w:r w:rsidR="00F20E9D" w:rsidRPr="000C423A">
        <w:rPr>
          <w:rFonts w:ascii="Arial" w:hAnsi="Arial" w:cs="Arial"/>
          <w:sz w:val="20"/>
          <w:szCs w:val="20"/>
        </w:rPr>
        <w:t>, HEA, York.</w:t>
      </w:r>
    </w:p>
    <w:sectPr w:rsidR="00B24641" w:rsidRPr="000C423A" w:rsidSect="00F502D7">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6B5" w:rsidRDefault="004926B5" w:rsidP="001559DF">
      <w:pPr>
        <w:spacing w:after="0" w:line="240" w:lineRule="auto"/>
      </w:pPr>
      <w:r>
        <w:separator/>
      </w:r>
    </w:p>
  </w:endnote>
  <w:endnote w:type="continuationSeparator" w:id="0">
    <w:p w:rsidR="004926B5" w:rsidRDefault="004926B5" w:rsidP="00155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7188"/>
      <w:docPartObj>
        <w:docPartGallery w:val="Page Numbers (Bottom of Page)"/>
        <w:docPartUnique/>
      </w:docPartObj>
    </w:sdtPr>
    <w:sdtContent>
      <w:p w:rsidR="00E105FD" w:rsidRDefault="00975AA6">
        <w:pPr>
          <w:pStyle w:val="Footer"/>
          <w:jc w:val="center"/>
        </w:pPr>
        <w:fldSimple w:instr=" PAGE   \* MERGEFORMAT ">
          <w:r w:rsidR="001D7FAA">
            <w:rPr>
              <w:noProof/>
            </w:rPr>
            <w:t>8</w:t>
          </w:r>
        </w:fldSimple>
      </w:p>
    </w:sdtContent>
  </w:sdt>
  <w:p w:rsidR="00E105FD" w:rsidRDefault="00E105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6B5" w:rsidRDefault="004926B5" w:rsidP="001559DF">
      <w:pPr>
        <w:spacing w:after="0" w:line="240" w:lineRule="auto"/>
      </w:pPr>
      <w:r>
        <w:separator/>
      </w:r>
    </w:p>
  </w:footnote>
  <w:footnote w:type="continuationSeparator" w:id="0">
    <w:p w:rsidR="004926B5" w:rsidRDefault="004926B5" w:rsidP="001559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6FB"/>
    <w:multiLevelType w:val="multilevel"/>
    <w:tmpl w:val="BF721124"/>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1">
    <w:nsid w:val="0E284659"/>
    <w:multiLevelType w:val="hybridMultilevel"/>
    <w:tmpl w:val="F63E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D6690E"/>
    <w:multiLevelType w:val="hybridMultilevel"/>
    <w:tmpl w:val="0A1A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F471A"/>
    <w:multiLevelType w:val="multilevel"/>
    <w:tmpl w:val="C9A6882A"/>
    <w:lvl w:ilvl="0">
      <w:start w:val="1"/>
      <w:numFmt w:val="decimal"/>
      <w:lvlText w:val="%1"/>
      <w:lvlJc w:val="left"/>
      <w:pPr>
        <w:ind w:left="720" w:hanging="720"/>
      </w:pPr>
      <w:rPr>
        <w:rFonts w:hint="default"/>
        <w:sz w:val="24"/>
      </w:rPr>
    </w:lvl>
    <w:lvl w:ilvl="1">
      <w:start w:val="1"/>
      <w:numFmt w:val="decimal"/>
      <w:lvlText w:val="%1.%2"/>
      <w:lvlJc w:val="left"/>
      <w:pPr>
        <w:ind w:left="1440" w:hanging="720"/>
      </w:pPr>
      <w:rPr>
        <w:rFonts w:hint="default"/>
        <w:sz w:val="20"/>
        <w:szCs w:val="20"/>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4">
    <w:nsid w:val="196273D6"/>
    <w:multiLevelType w:val="hybridMultilevel"/>
    <w:tmpl w:val="33A2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F4657"/>
    <w:multiLevelType w:val="hybridMultilevel"/>
    <w:tmpl w:val="AADC3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2051F"/>
    <w:multiLevelType w:val="multilevel"/>
    <w:tmpl w:val="4A0032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7">
    <w:nsid w:val="54D23CA5"/>
    <w:multiLevelType w:val="hybridMultilevel"/>
    <w:tmpl w:val="7C9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1848EF"/>
    <w:multiLevelType w:val="hybridMultilevel"/>
    <w:tmpl w:val="D2D82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C2067D"/>
    <w:multiLevelType w:val="hybridMultilevel"/>
    <w:tmpl w:val="84949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734392"/>
    <w:multiLevelType w:val="hybridMultilevel"/>
    <w:tmpl w:val="D2D82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6"/>
  </w:num>
  <w:num w:numId="5">
    <w:abstractNumId w:val="0"/>
  </w:num>
  <w:num w:numId="6">
    <w:abstractNumId w:val="7"/>
  </w:num>
  <w:num w:numId="7">
    <w:abstractNumId w:val="1"/>
  </w:num>
  <w:num w:numId="8">
    <w:abstractNumId w:val="2"/>
  </w:num>
  <w:num w:numId="9">
    <w:abstractNumId w:val="3"/>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50FE"/>
    <w:rsid w:val="00012019"/>
    <w:rsid w:val="00024A78"/>
    <w:rsid w:val="000535C2"/>
    <w:rsid w:val="00057804"/>
    <w:rsid w:val="000943CE"/>
    <w:rsid w:val="00094641"/>
    <w:rsid w:val="000A21ED"/>
    <w:rsid w:val="000C423A"/>
    <w:rsid w:val="000D29AD"/>
    <w:rsid w:val="00106477"/>
    <w:rsid w:val="001559DF"/>
    <w:rsid w:val="00173242"/>
    <w:rsid w:val="00175857"/>
    <w:rsid w:val="001825B1"/>
    <w:rsid w:val="001A50FE"/>
    <w:rsid w:val="001D30EA"/>
    <w:rsid w:val="001D7FAA"/>
    <w:rsid w:val="00221BCF"/>
    <w:rsid w:val="00234A77"/>
    <w:rsid w:val="002413AF"/>
    <w:rsid w:val="00250E96"/>
    <w:rsid w:val="00274DF6"/>
    <w:rsid w:val="002A2492"/>
    <w:rsid w:val="00305E19"/>
    <w:rsid w:val="00306778"/>
    <w:rsid w:val="0033072C"/>
    <w:rsid w:val="003723EA"/>
    <w:rsid w:val="003814DC"/>
    <w:rsid w:val="003865EB"/>
    <w:rsid w:val="003D2E53"/>
    <w:rsid w:val="00425D2F"/>
    <w:rsid w:val="0046467B"/>
    <w:rsid w:val="00481EC9"/>
    <w:rsid w:val="00491726"/>
    <w:rsid w:val="004926B5"/>
    <w:rsid w:val="004B6552"/>
    <w:rsid w:val="004B7C29"/>
    <w:rsid w:val="004D4546"/>
    <w:rsid w:val="004D4E28"/>
    <w:rsid w:val="004E46FD"/>
    <w:rsid w:val="004F3147"/>
    <w:rsid w:val="00523979"/>
    <w:rsid w:val="0052782A"/>
    <w:rsid w:val="005378A5"/>
    <w:rsid w:val="00574A01"/>
    <w:rsid w:val="005754FB"/>
    <w:rsid w:val="00595E7B"/>
    <w:rsid w:val="005A76DD"/>
    <w:rsid w:val="005D0044"/>
    <w:rsid w:val="005F7D2B"/>
    <w:rsid w:val="00603822"/>
    <w:rsid w:val="006277E0"/>
    <w:rsid w:val="00630346"/>
    <w:rsid w:val="00633463"/>
    <w:rsid w:val="006754B6"/>
    <w:rsid w:val="00695CFA"/>
    <w:rsid w:val="00711685"/>
    <w:rsid w:val="0075609B"/>
    <w:rsid w:val="0077593C"/>
    <w:rsid w:val="00777F89"/>
    <w:rsid w:val="007875B3"/>
    <w:rsid w:val="00793653"/>
    <w:rsid w:val="007A0D4D"/>
    <w:rsid w:val="007B5CC0"/>
    <w:rsid w:val="00815555"/>
    <w:rsid w:val="0082258C"/>
    <w:rsid w:val="00840C59"/>
    <w:rsid w:val="00862FCD"/>
    <w:rsid w:val="00886443"/>
    <w:rsid w:val="008915AC"/>
    <w:rsid w:val="0089286C"/>
    <w:rsid w:val="0089369B"/>
    <w:rsid w:val="008F1E44"/>
    <w:rsid w:val="00911044"/>
    <w:rsid w:val="00933F15"/>
    <w:rsid w:val="00935EAC"/>
    <w:rsid w:val="00940A1B"/>
    <w:rsid w:val="00975AA6"/>
    <w:rsid w:val="00982485"/>
    <w:rsid w:val="009A1E00"/>
    <w:rsid w:val="009A49DC"/>
    <w:rsid w:val="009F6C00"/>
    <w:rsid w:val="00A568C6"/>
    <w:rsid w:val="00A85C4E"/>
    <w:rsid w:val="00AA1E09"/>
    <w:rsid w:val="00AB7B02"/>
    <w:rsid w:val="00AD42BC"/>
    <w:rsid w:val="00AD4501"/>
    <w:rsid w:val="00B24641"/>
    <w:rsid w:val="00B30B84"/>
    <w:rsid w:val="00B41AF0"/>
    <w:rsid w:val="00B43DC9"/>
    <w:rsid w:val="00B75F15"/>
    <w:rsid w:val="00B82A65"/>
    <w:rsid w:val="00BA2688"/>
    <w:rsid w:val="00BA7E53"/>
    <w:rsid w:val="00BE33F2"/>
    <w:rsid w:val="00C31C35"/>
    <w:rsid w:val="00C37702"/>
    <w:rsid w:val="00C61211"/>
    <w:rsid w:val="00C9035E"/>
    <w:rsid w:val="00CC1974"/>
    <w:rsid w:val="00CD748E"/>
    <w:rsid w:val="00CF30F7"/>
    <w:rsid w:val="00D26C45"/>
    <w:rsid w:val="00D27483"/>
    <w:rsid w:val="00D57D91"/>
    <w:rsid w:val="00D81F1F"/>
    <w:rsid w:val="00D93E11"/>
    <w:rsid w:val="00DB353D"/>
    <w:rsid w:val="00DD7C06"/>
    <w:rsid w:val="00DE1512"/>
    <w:rsid w:val="00DF03C2"/>
    <w:rsid w:val="00E04A11"/>
    <w:rsid w:val="00E101CE"/>
    <w:rsid w:val="00E105FD"/>
    <w:rsid w:val="00E3558B"/>
    <w:rsid w:val="00E4220A"/>
    <w:rsid w:val="00EA2755"/>
    <w:rsid w:val="00F20E9D"/>
    <w:rsid w:val="00F25962"/>
    <w:rsid w:val="00F416E4"/>
    <w:rsid w:val="00F41B85"/>
    <w:rsid w:val="00F502D7"/>
    <w:rsid w:val="00F66EB7"/>
    <w:rsid w:val="00F86055"/>
    <w:rsid w:val="00FF24D3"/>
    <w:rsid w:val="00FF443E"/>
    <w:rsid w:val="00FF6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2D7"/>
  </w:style>
  <w:style w:type="paragraph" w:styleId="Heading2">
    <w:name w:val="heading 2"/>
    <w:basedOn w:val="Normal"/>
    <w:next w:val="Normal"/>
    <w:link w:val="Heading2Char"/>
    <w:qFormat/>
    <w:rsid w:val="005754FB"/>
    <w:pPr>
      <w:autoSpaceDE w:val="0"/>
      <w:autoSpaceDN w:val="0"/>
      <w:adjustRightInd w:val="0"/>
      <w:spacing w:after="0" w:line="240" w:lineRule="auto"/>
      <w:ind w:left="270" w:hanging="270"/>
      <w:outlineLvl w:val="1"/>
    </w:pPr>
    <w:rPr>
      <w:rFonts w:ascii="Arial" w:eastAsia="Times New Roman" w:hAnsi="Arial" w:cs="Arial"/>
      <w:color w:val="000000"/>
      <w:sz w:val="32"/>
      <w:szCs w:val="32"/>
      <w:lang w:val="en-GB"/>
    </w:rPr>
  </w:style>
  <w:style w:type="paragraph" w:styleId="Heading3">
    <w:name w:val="heading 3"/>
    <w:basedOn w:val="Normal"/>
    <w:next w:val="Normal"/>
    <w:link w:val="Heading3Char"/>
    <w:qFormat/>
    <w:rsid w:val="005754FB"/>
    <w:pPr>
      <w:autoSpaceDE w:val="0"/>
      <w:autoSpaceDN w:val="0"/>
      <w:adjustRightInd w:val="0"/>
      <w:spacing w:after="0" w:line="240" w:lineRule="auto"/>
      <w:ind w:left="585" w:hanging="225"/>
      <w:outlineLvl w:val="2"/>
    </w:pPr>
    <w:rPr>
      <w:rFonts w:ascii="Arial" w:eastAsia="Times New Roman" w:hAnsi="Arial" w:cs="Arial"/>
      <w:color w:val="000000"/>
      <w:sz w:val="28"/>
      <w:szCs w:val="28"/>
      <w:lang w:val="en-GB"/>
    </w:rPr>
  </w:style>
  <w:style w:type="paragraph" w:styleId="Heading5">
    <w:name w:val="heading 5"/>
    <w:basedOn w:val="Normal"/>
    <w:next w:val="Normal"/>
    <w:link w:val="Heading5Char"/>
    <w:uiPriority w:val="9"/>
    <w:semiHidden/>
    <w:unhideWhenUsed/>
    <w:qFormat/>
    <w:rsid w:val="00C612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641"/>
    <w:rPr>
      <w:color w:val="0000FF" w:themeColor="hyperlink"/>
      <w:u w:val="single"/>
    </w:rPr>
  </w:style>
  <w:style w:type="paragraph" w:styleId="ListParagraph">
    <w:name w:val="List Paragraph"/>
    <w:basedOn w:val="Normal"/>
    <w:uiPriority w:val="34"/>
    <w:qFormat/>
    <w:rsid w:val="00B24641"/>
    <w:pPr>
      <w:ind w:left="720"/>
      <w:contextualSpacing/>
    </w:pPr>
  </w:style>
  <w:style w:type="character" w:customStyle="1" w:styleId="Heading2Char">
    <w:name w:val="Heading 2 Char"/>
    <w:basedOn w:val="DefaultParagraphFont"/>
    <w:link w:val="Heading2"/>
    <w:rsid w:val="005754FB"/>
    <w:rPr>
      <w:rFonts w:ascii="Arial" w:eastAsia="Times New Roman" w:hAnsi="Arial" w:cs="Arial"/>
      <w:color w:val="000000"/>
      <w:sz w:val="32"/>
      <w:szCs w:val="32"/>
      <w:lang w:val="en-GB"/>
    </w:rPr>
  </w:style>
  <w:style w:type="character" w:customStyle="1" w:styleId="Heading3Char">
    <w:name w:val="Heading 3 Char"/>
    <w:basedOn w:val="DefaultParagraphFont"/>
    <w:link w:val="Heading3"/>
    <w:rsid w:val="005754FB"/>
    <w:rPr>
      <w:rFonts w:ascii="Arial" w:eastAsia="Times New Roman" w:hAnsi="Arial" w:cs="Arial"/>
      <w:color w:val="000000"/>
      <w:sz w:val="28"/>
      <w:szCs w:val="28"/>
      <w:lang w:val="en-GB"/>
    </w:rPr>
  </w:style>
  <w:style w:type="character" w:styleId="Strong">
    <w:name w:val="Strong"/>
    <w:basedOn w:val="DefaultParagraphFont"/>
    <w:qFormat/>
    <w:rsid w:val="00935EAC"/>
    <w:rPr>
      <w:rFonts w:cs="Times New Roman"/>
      <w:b/>
      <w:bCs/>
    </w:rPr>
  </w:style>
  <w:style w:type="character" w:styleId="Emphasis">
    <w:name w:val="Emphasis"/>
    <w:basedOn w:val="DefaultParagraphFont"/>
    <w:uiPriority w:val="20"/>
    <w:qFormat/>
    <w:rsid w:val="006754B6"/>
    <w:rPr>
      <w:i/>
      <w:iCs/>
    </w:rPr>
  </w:style>
  <w:style w:type="paragraph" w:styleId="NormalWeb">
    <w:name w:val="Normal (Web)"/>
    <w:basedOn w:val="Normal"/>
    <w:uiPriority w:val="99"/>
    <w:semiHidden/>
    <w:unhideWhenUsed/>
    <w:rsid w:val="009A1E00"/>
    <w:pPr>
      <w:spacing w:before="210" w:after="210" w:line="240" w:lineRule="auto"/>
    </w:pPr>
    <w:rPr>
      <w:rFonts w:eastAsia="Times New Roman"/>
    </w:rPr>
  </w:style>
  <w:style w:type="paragraph" w:styleId="Header">
    <w:name w:val="header"/>
    <w:basedOn w:val="Normal"/>
    <w:link w:val="HeaderChar"/>
    <w:uiPriority w:val="99"/>
    <w:semiHidden/>
    <w:unhideWhenUsed/>
    <w:rsid w:val="001559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59DF"/>
  </w:style>
  <w:style w:type="paragraph" w:styleId="Footer">
    <w:name w:val="footer"/>
    <w:basedOn w:val="Normal"/>
    <w:link w:val="FooterChar"/>
    <w:uiPriority w:val="99"/>
    <w:unhideWhenUsed/>
    <w:rsid w:val="00155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9DF"/>
  </w:style>
  <w:style w:type="table" w:styleId="TableGrid">
    <w:name w:val="Table Grid"/>
    <w:basedOn w:val="TableNormal"/>
    <w:uiPriority w:val="59"/>
    <w:rsid w:val="00175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D4E28"/>
    <w:pPr>
      <w:spacing w:after="0" w:line="24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4D4E28"/>
    <w:rPr>
      <w:rFonts w:ascii="Arial" w:eastAsia="Times New Roman" w:hAnsi="Arial" w:cs="Arial"/>
      <w:sz w:val="20"/>
      <w:szCs w:val="20"/>
      <w:lang w:val="en-GB"/>
    </w:rPr>
  </w:style>
  <w:style w:type="paragraph" w:customStyle="1" w:styleId="blockquote0">
    <w:name w:val="blockquote0"/>
    <w:basedOn w:val="Normal"/>
    <w:rsid w:val="005378A5"/>
    <w:pPr>
      <w:spacing w:after="180" w:line="240" w:lineRule="auto"/>
    </w:pPr>
    <w:rPr>
      <w:rFonts w:eastAsia="Times New Roman"/>
    </w:rPr>
  </w:style>
  <w:style w:type="character" w:customStyle="1" w:styleId="Heading5Char">
    <w:name w:val="Heading 5 Char"/>
    <w:basedOn w:val="DefaultParagraphFont"/>
    <w:link w:val="Heading5"/>
    <w:uiPriority w:val="9"/>
    <w:semiHidden/>
    <w:rsid w:val="00C61211"/>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842167376">
      <w:bodyDiv w:val="1"/>
      <w:marLeft w:val="0"/>
      <w:marRight w:val="0"/>
      <w:marTop w:val="0"/>
      <w:marBottom w:val="0"/>
      <w:divBdr>
        <w:top w:val="none" w:sz="0" w:space="0" w:color="auto"/>
        <w:left w:val="none" w:sz="0" w:space="0" w:color="auto"/>
        <w:bottom w:val="none" w:sz="0" w:space="0" w:color="auto"/>
        <w:right w:val="none" w:sz="0" w:space="0" w:color="auto"/>
      </w:divBdr>
      <w:divsChild>
        <w:div w:id="1283881920">
          <w:marLeft w:val="0"/>
          <w:marRight w:val="0"/>
          <w:marTop w:val="0"/>
          <w:marBottom w:val="0"/>
          <w:divBdr>
            <w:top w:val="none" w:sz="0" w:space="0" w:color="auto"/>
            <w:left w:val="none" w:sz="0" w:space="0" w:color="auto"/>
            <w:bottom w:val="none" w:sz="0" w:space="0" w:color="auto"/>
            <w:right w:val="none" w:sz="0" w:space="0" w:color="auto"/>
          </w:divBdr>
          <w:divsChild>
            <w:div w:id="2115247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8686157">
      <w:bodyDiv w:val="1"/>
      <w:marLeft w:val="0"/>
      <w:marRight w:val="0"/>
      <w:marTop w:val="0"/>
      <w:marBottom w:val="0"/>
      <w:divBdr>
        <w:top w:val="none" w:sz="0" w:space="0" w:color="auto"/>
        <w:left w:val="none" w:sz="0" w:space="0" w:color="auto"/>
        <w:bottom w:val="none" w:sz="0" w:space="0" w:color="auto"/>
        <w:right w:val="none" w:sz="0" w:space="0" w:color="auto"/>
      </w:divBdr>
      <w:divsChild>
        <w:div w:id="1039745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531551">
      <w:bodyDiv w:val="1"/>
      <w:marLeft w:val="0"/>
      <w:marRight w:val="0"/>
      <w:marTop w:val="0"/>
      <w:marBottom w:val="0"/>
      <w:divBdr>
        <w:top w:val="none" w:sz="0" w:space="0" w:color="auto"/>
        <w:left w:val="none" w:sz="0" w:space="0" w:color="auto"/>
        <w:bottom w:val="none" w:sz="0" w:space="0" w:color="auto"/>
        <w:right w:val="none" w:sz="0" w:space="0" w:color="auto"/>
      </w:divBdr>
      <w:divsChild>
        <w:div w:id="2143963977">
          <w:marLeft w:val="0"/>
          <w:marRight w:val="0"/>
          <w:marTop w:val="0"/>
          <w:marBottom w:val="0"/>
          <w:divBdr>
            <w:top w:val="none" w:sz="0" w:space="0" w:color="auto"/>
            <w:left w:val="none" w:sz="0" w:space="0" w:color="auto"/>
            <w:bottom w:val="none" w:sz="0" w:space="0" w:color="auto"/>
            <w:right w:val="none" w:sz="0" w:space="0" w:color="auto"/>
          </w:divBdr>
        </w:div>
      </w:divsChild>
    </w:div>
    <w:div w:id="1657031072">
      <w:bodyDiv w:val="1"/>
      <w:marLeft w:val="0"/>
      <w:marRight w:val="0"/>
      <w:marTop w:val="0"/>
      <w:marBottom w:val="0"/>
      <w:divBdr>
        <w:top w:val="none" w:sz="0" w:space="0" w:color="auto"/>
        <w:left w:val="none" w:sz="0" w:space="0" w:color="auto"/>
        <w:bottom w:val="none" w:sz="0" w:space="0" w:color="auto"/>
        <w:right w:val="none" w:sz="0" w:space="0" w:color="auto"/>
      </w:divBdr>
      <w:divsChild>
        <w:div w:id="239413971">
          <w:marLeft w:val="0"/>
          <w:marRight w:val="0"/>
          <w:marTop w:val="0"/>
          <w:marBottom w:val="0"/>
          <w:divBdr>
            <w:top w:val="none" w:sz="0" w:space="0" w:color="auto"/>
            <w:left w:val="none" w:sz="0" w:space="0" w:color="auto"/>
            <w:bottom w:val="none" w:sz="0" w:space="0" w:color="auto"/>
            <w:right w:val="none" w:sz="0" w:space="0" w:color="auto"/>
          </w:divBdr>
          <w:divsChild>
            <w:div w:id="309671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200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mclernon@ul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3.interscience.wiley.com/journal/122260399/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C145-C347-48B6-B874-305C904A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8</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Ulster</Company>
  <LinksUpToDate>false</LinksUpToDate>
  <CharactersWithSpaces>26361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UUJ</dc:creator>
  <cp:keywords/>
  <dc:description/>
  <cp:lastModifiedBy>UUJ</cp:lastModifiedBy>
  <cp:revision>17</cp:revision>
  <cp:lastPrinted>2011-05-26T17:27:00Z</cp:lastPrinted>
  <dcterms:created xsi:type="dcterms:W3CDTF">2011-05-27T13:24:00Z</dcterms:created>
  <dcterms:modified xsi:type="dcterms:W3CDTF">2011-06-02T12:27:00Z</dcterms:modified>
</cp:coreProperties>
</file>